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895B9F">
        <w:trPr>
          <w:trHeight w:val="852"/>
          <w:jc w:val="center"/>
        </w:trPr>
        <w:tc>
          <w:tcPr>
            <w:tcW w:w="6940" w:type="dxa"/>
            <w:vMerge w:val="restart"/>
            <w:tcBorders>
              <w:right w:val="single" w:sz="4" w:space="0" w:color="auto"/>
            </w:tcBorders>
          </w:tcPr>
          <w:p w14:paraId="38C3D2BA" w14:textId="77777777" w:rsidR="000A03B2" w:rsidRPr="001F61E3" w:rsidRDefault="000A03B2" w:rsidP="00DE264A">
            <w:pPr>
              <w:tabs>
                <w:tab w:val="left" w:pos="-108"/>
              </w:tabs>
              <w:ind w:left="-108"/>
              <w:rPr>
                <w:rFonts w:cs="Arial"/>
                <w:b/>
                <w:bCs/>
                <w:i/>
                <w:iCs/>
                <w:color w:val="000066"/>
                <w:sz w:val="12"/>
                <w:szCs w:val="12"/>
                <w:lang w:val="en-US"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1F61E3">
              <w:rPr>
                <w:rFonts w:ascii="AdvP6960" w:hAnsi="AdvP6960" w:cs="AdvP6960"/>
                <w:color w:val="241F20"/>
                <w:szCs w:val="18"/>
                <w:lang w:val="en-US" w:eastAsia="it-IT"/>
              </w:rPr>
              <w:t xml:space="preserve"> </w:t>
            </w:r>
            <w:r w:rsidRPr="001F61E3">
              <w:rPr>
                <w:rFonts w:cs="Arial"/>
                <w:b/>
                <w:bCs/>
                <w:i/>
                <w:iCs/>
                <w:color w:val="000066"/>
                <w:lang w:val="en-US" w:eastAsia="it-IT"/>
              </w:rPr>
              <w:t>CHEMICAL ENGINEERING</w:t>
            </w:r>
            <w:r w:rsidRPr="001F61E3">
              <w:rPr>
                <w:rFonts w:cs="Arial"/>
                <w:b/>
                <w:bCs/>
                <w:i/>
                <w:iCs/>
                <w:color w:val="0033FF"/>
                <w:lang w:val="en-US" w:eastAsia="it-IT"/>
              </w:rPr>
              <w:t xml:space="preserve"> </w:t>
            </w:r>
            <w:r w:rsidRPr="001F61E3">
              <w:rPr>
                <w:rFonts w:cs="Arial"/>
                <w:b/>
                <w:bCs/>
                <w:i/>
                <w:iCs/>
                <w:color w:val="666666"/>
                <w:lang w:val="en-US" w:eastAsia="it-IT"/>
              </w:rPr>
              <w:t>TRANSACTIONS</w:t>
            </w:r>
            <w:r w:rsidRPr="001F61E3">
              <w:rPr>
                <w:color w:val="333333"/>
                <w:lang w:val="en-US" w:eastAsia="it-IT"/>
              </w:rPr>
              <w:t xml:space="preserve"> </w:t>
            </w:r>
            <w:r w:rsidRPr="001F61E3">
              <w:rPr>
                <w:rFonts w:cs="Arial"/>
                <w:b/>
                <w:bCs/>
                <w:i/>
                <w:iCs/>
                <w:color w:val="000066"/>
                <w:sz w:val="27"/>
                <w:szCs w:val="27"/>
                <w:lang w:val="en-US" w:eastAsia="it-IT"/>
              </w:rPr>
              <w:br/>
            </w:r>
          </w:p>
          <w:p w14:paraId="4B780582" w14:textId="753620B8" w:rsidR="000A03B2" w:rsidRPr="001F61E3" w:rsidRDefault="00A76EFC" w:rsidP="001D21AF">
            <w:pPr>
              <w:tabs>
                <w:tab w:val="left" w:pos="-108"/>
              </w:tabs>
              <w:ind w:left="-108"/>
              <w:rPr>
                <w:rFonts w:cs="Arial"/>
                <w:b/>
                <w:bCs/>
                <w:i/>
                <w:iCs/>
                <w:color w:val="000066"/>
                <w:sz w:val="22"/>
                <w:szCs w:val="22"/>
                <w:lang w:val="en-US" w:eastAsia="it-IT"/>
              </w:rPr>
            </w:pPr>
            <w:r w:rsidRPr="001F61E3">
              <w:rPr>
                <w:rFonts w:cs="Arial"/>
                <w:b/>
                <w:bCs/>
                <w:i/>
                <w:iCs/>
                <w:color w:val="000066"/>
                <w:sz w:val="22"/>
                <w:szCs w:val="22"/>
                <w:lang w:val="en-US" w:eastAsia="it-IT"/>
              </w:rPr>
              <w:t>VOL.</w:t>
            </w:r>
            <w:r w:rsidR="00785BF9" w:rsidRPr="001F61E3">
              <w:rPr>
                <w:rFonts w:cs="Arial"/>
                <w:b/>
                <w:bCs/>
                <w:i/>
                <w:iCs/>
                <w:color w:val="000066"/>
                <w:sz w:val="22"/>
                <w:szCs w:val="22"/>
                <w:lang w:val="en-US" w:eastAsia="it-IT"/>
              </w:rPr>
              <w:t xml:space="preserve"> </w:t>
            </w:r>
            <w:r w:rsidR="00AD0278" w:rsidRPr="001F61E3">
              <w:rPr>
                <w:rFonts w:cs="Arial"/>
                <w:b/>
                <w:bCs/>
                <w:i/>
                <w:iCs/>
                <w:color w:val="000066"/>
                <w:sz w:val="22"/>
                <w:szCs w:val="22"/>
                <w:lang w:val="en-US" w:eastAsia="it-IT"/>
              </w:rPr>
              <w:t>xxx</w:t>
            </w:r>
            <w:r w:rsidR="007B48F9" w:rsidRPr="001F61E3">
              <w:rPr>
                <w:rFonts w:cs="Arial"/>
                <w:b/>
                <w:bCs/>
                <w:i/>
                <w:iCs/>
                <w:color w:val="000066"/>
                <w:sz w:val="22"/>
                <w:szCs w:val="22"/>
                <w:lang w:val="en-US" w:eastAsia="it-IT"/>
              </w:rPr>
              <w:t>,</w:t>
            </w:r>
            <w:r w:rsidR="00FA5F5F" w:rsidRPr="001F61E3">
              <w:rPr>
                <w:rFonts w:cs="Arial"/>
                <w:b/>
                <w:bCs/>
                <w:i/>
                <w:iCs/>
                <w:color w:val="000066"/>
                <w:sz w:val="22"/>
                <w:szCs w:val="22"/>
                <w:lang w:val="en-US" w:eastAsia="it-IT"/>
              </w:rPr>
              <w:t xml:space="preserve"> </w:t>
            </w:r>
            <w:r w:rsidR="0030152C" w:rsidRPr="001F61E3">
              <w:rPr>
                <w:rFonts w:cs="Arial"/>
                <w:b/>
                <w:bCs/>
                <w:i/>
                <w:iCs/>
                <w:color w:val="000066"/>
                <w:sz w:val="22"/>
                <w:szCs w:val="22"/>
                <w:lang w:val="en-US" w:eastAsia="it-IT"/>
              </w:rPr>
              <w:t>202</w:t>
            </w:r>
            <w:r w:rsidR="00AD0278" w:rsidRPr="001F61E3">
              <w:rPr>
                <w:rFonts w:cs="Arial"/>
                <w:b/>
                <w:bCs/>
                <w:i/>
                <w:iCs/>
                <w:color w:val="000066"/>
                <w:sz w:val="22"/>
                <w:szCs w:val="22"/>
                <w:lang w:val="en-US"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 xml:space="preserve">A </w:t>
            </w:r>
            <w:proofErr w:type="spellStart"/>
            <w:r w:rsidRPr="00B57B36">
              <w:rPr>
                <w:rFonts w:cs="Arial"/>
                <w:sz w:val="14"/>
                <w:szCs w:val="14"/>
              </w:rPr>
              <w:t>publication</w:t>
            </w:r>
            <w:proofErr w:type="spellEnd"/>
            <w:r w:rsidRPr="00B57B36">
              <w:rPr>
                <w:rFonts w:cs="Arial"/>
                <w:sz w:val="14"/>
                <w:szCs w:val="14"/>
              </w:rPr>
              <w:t xml:space="preserve">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803CEA" w14:paraId="380FA3CD" w14:textId="77777777" w:rsidTr="00895B9F">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1F61E3" w:rsidRDefault="000A03B2" w:rsidP="00CD5FE2">
            <w:pPr>
              <w:spacing w:line="140" w:lineRule="atLeast"/>
              <w:jc w:val="right"/>
              <w:rPr>
                <w:rFonts w:cs="Arial"/>
                <w:sz w:val="14"/>
                <w:szCs w:val="14"/>
                <w:lang w:val="en-US"/>
              </w:rPr>
            </w:pPr>
            <w:r w:rsidRPr="001F61E3">
              <w:rPr>
                <w:rFonts w:cs="Arial"/>
                <w:sz w:val="14"/>
                <w:szCs w:val="14"/>
                <w:lang w:val="en-US"/>
              </w:rPr>
              <w:t>The Italian Association</w:t>
            </w:r>
          </w:p>
          <w:p w14:paraId="7522B1D2" w14:textId="77777777" w:rsidR="000A03B2" w:rsidRPr="001F61E3" w:rsidRDefault="000A03B2" w:rsidP="00CD5FE2">
            <w:pPr>
              <w:spacing w:line="140" w:lineRule="atLeast"/>
              <w:jc w:val="right"/>
              <w:rPr>
                <w:rFonts w:cs="Arial"/>
                <w:sz w:val="14"/>
                <w:szCs w:val="14"/>
                <w:lang w:val="en-US"/>
              </w:rPr>
            </w:pPr>
            <w:r w:rsidRPr="001F61E3">
              <w:rPr>
                <w:rFonts w:cs="Arial"/>
                <w:sz w:val="14"/>
                <w:szCs w:val="14"/>
                <w:lang w:val="en-US"/>
              </w:rPr>
              <w:t>of Chemical Engineering</w:t>
            </w:r>
          </w:p>
          <w:p w14:paraId="4F0CC5DE" w14:textId="47FDB2FC" w:rsidR="000A03B2" w:rsidRPr="001F61E3" w:rsidRDefault="000D0268" w:rsidP="00CD5FE2">
            <w:pPr>
              <w:spacing w:line="140" w:lineRule="atLeast"/>
              <w:jc w:val="right"/>
              <w:rPr>
                <w:rFonts w:cs="Arial"/>
                <w:sz w:val="13"/>
                <w:szCs w:val="13"/>
                <w:lang w:val="en-US"/>
              </w:rPr>
            </w:pPr>
            <w:r w:rsidRPr="001F61E3">
              <w:rPr>
                <w:rFonts w:cs="Arial"/>
                <w:sz w:val="13"/>
                <w:szCs w:val="13"/>
                <w:lang w:val="en-US"/>
              </w:rPr>
              <w:t>Online at www.cetjournal.it</w:t>
            </w:r>
          </w:p>
        </w:tc>
      </w:tr>
      <w:tr w:rsidR="000A03B2" w:rsidRPr="00803CEA" w14:paraId="2D1B7169" w14:textId="77777777" w:rsidTr="00895B9F">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1F61E3" w:rsidRDefault="00AA7D26" w:rsidP="00AA7D26">
            <w:pPr>
              <w:tabs>
                <w:tab w:val="left" w:pos="-108"/>
              </w:tabs>
              <w:spacing w:line="140" w:lineRule="atLeast"/>
              <w:ind w:left="-107"/>
              <w:rPr>
                <w:lang w:val="en-US"/>
              </w:rPr>
            </w:pPr>
            <w:r w:rsidRPr="001F61E3">
              <w:rPr>
                <w:rFonts w:ascii="Tahoma" w:hAnsi="Tahoma" w:cs="Tahoma"/>
                <w:iCs/>
                <w:color w:val="333333"/>
                <w:sz w:val="14"/>
                <w:szCs w:val="14"/>
                <w:lang w:val="en-US" w:eastAsia="it-IT"/>
              </w:rPr>
              <w:t>Copyright © 202</w:t>
            </w:r>
            <w:r w:rsidR="00005884" w:rsidRPr="001F61E3">
              <w:rPr>
                <w:rFonts w:ascii="Tahoma" w:hAnsi="Tahoma" w:cs="Tahoma"/>
                <w:iCs/>
                <w:color w:val="333333"/>
                <w:sz w:val="14"/>
                <w:szCs w:val="14"/>
                <w:lang w:val="en-US" w:eastAsia="it-IT"/>
              </w:rPr>
              <w:t>6</w:t>
            </w:r>
            <w:r w:rsidRPr="001F61E3">
              <w:rPr>
                <w:rFonts w:ascii="Tahoma" w:hAnsi="Tahoma" w:cs="Tahoma"/>
                <w:iCs/>
                <w:color w:val="333333"/>
                <w:sz w:val="14"/>
                <w:szCs w:val="14"/>
                <w:lang w:val="en-US" w:eastAsia="it-IT"/>
              </w:rPr>
              <w:t xml:space="preserve">, AIDIC </w:t>
            </w:r>
            <w:proofErr w:type="spellStart"/>
            <w:r w:rsidRPr="001F61E3">
              <w:rPr>
                <w:rFonts w:ascii="Tahoma" w:hAnsi="Tahoma" w:cs="Tahoma"/>
                <w:iCs/>
                <w:color w:val="333333"/>
                <w:sz w:val="14"/>
                <w:szCs w:val="14"/>
                <w:lang w:val="en-US" w:eastAsia="it-IT"/>
              </w:rPr>
              <w:t>Servizi</w:t>
            </w:r>
            <w:proofErr w:type="spellEnd"/>
            <w:r w:rsidRPr="001F61E3">
              <w:rPr>
                <w:rFonts w:ascii="Tahoma" w:hAnsi="Tahoma" w:cs="Tahoma"/>
                <w:iCs/>
                <w:color w:val="333333"/>
                <w:sz w:val="14"/>
                <w:szCs w:val="14"/>
                <w:lang w:val="en-US" w:eastAsia="it-IT"/>
              </w:rPr>
              <w:t xml:space="preserve"> </w:t>
            </w:r>
            <w:proofErr w:type="spellStart"/>
            <w:r w:rsidRPr="001F61E3">
              <w:rPr>
                <w:rFonts w:ascii="Tahoma" w:hAnsi="Tahoma" w:cs="Tahoma"/>
                <w:iCs/>
                <w:color w:val="333333"/>
                <w:sz w:val="14"/>
                <w:szCs w:val="14"/>
                <w:lang w:val="en-US" w:eastAsia="it-IT"/>
              </w:rPr>
              <w:t>S.r.l</w:t>
            </w:r>
            <w:proofErr w:type="spellEnd"/>
            <w:r w:rsidRPr="001F61E3">
              <w:rPr>
                <w:rFonts w:ascii="Tahoma" w:hAnsi="Tahoma" w:cs="Tahoma"/>
                <w:iCs/>
                <w:color w:val="333333"/>
                <w:sz w:val="14"/>
                <w:szCs w:val="14"/>
                <w:lang w:val="en-US" w:eastAsia="it-IT"/>
              </w:rPr>
              <w:t>.</w:t>
            </w:r>
            <w:r w:rsidRPr="001F61E3">
              <w:rPr>
                <w:rFonts w:ascii="Tahoma" w:hAnsi="Tahoma" w:cs="Tahoma"/>
                <w:iCs/>
                <w:color w:val="333333"/>
                <w:sz w:val="14"/>
                <w:szCs w:val="14"/>
                <w:lang w:val="en-US" w:eastAsia="it-IT"/>
              </w:rPr>
              <w:br/>
            </w:r>
            <w:r w:rsidRPr="001F61E3">
              <w:rPr>
                <w:rFonts w:ascii="Tahoma" w:hAnsi="Tahoma" w:cs="Tahoma"/>
                <w:b/>
                <w:iCs/>
                <w:color w:val="000000"/>
                <w:sz w:val="14"/>
                <w:szCs w:val="14"/>
                <w:lang w:val="en-US" w:eastAsia="it-IT"/>
              </w:rPr>
              <w:t>ISBN</w:t>
            </w:r>
            <w:r w:rsidRPr="001F61E3">
              <w:rPr>
                <w:rFonts w:ascii="Tahoma" w:hAnsi="Tahoma" w:cs="Tahoma"/>
                <w:iCs/>
                <w:color w:val="000000"/>
                <w:sz w:val="14"/>
                <w:szCs w:val="14"/>
                <w:lang w:val="en-US" w:eastAsia="it-IT"/>
              </w:rPr>
              <w:t xml:space="preserve"> </w:t>
            </w:r>
            <w:r w:rsidR="00D2582C" w:rsidRPr="001F61E3">
              <w:rPr>
                <w:rFonts w:ascii="Tahoma" w:hAnsi="Tahoma" w:cs="Tahoma"/>
                <w:sz w:val="14"/>
                <w:szCs w:val="14"/>
                <w:lang w:val="en-US"/>
              </w:rPr>
              <w:t>979-12-81206-</w:t>
            </w:r>
            <w:r w:rsidR="00005884" w:rsidRPr="001F61E3">
              <w:rPr>
                <w:rFonts w:ascii="Tahoma" w:hAnsi="Tahoma" w:cs="Tahoma"/>
                <w:sz w:val="14"/>
                <w:szCs w:val="14"/>
                <w:lang w:val="en-US"/>
              </w:rPr>
              <w:t>xx</w:t>
            </w:r>
            <w:r w:rsidR="009041F8" w:rsidRPr="001F61E3">
              <w:rPr>
                <w:rFonts w:ascii="Tahoma" w:hAnsi="Tahoma" w:cs="Tahoma"/>
                <w:sz w:val="14"/>
                <w:szCs w:val="14"/>
                <w:lang w:val="en-US"/>
              </w:rPr>
              <w:t>-</w:t>
            </w:r>
            <w:r w:rsidR="00005884" w:rsidRPr="001F61E3">
              <w:rPr>
                <w:rFonts w:ascii="Tahoma" w:hAnsi="Tahoma" w:cs="Tahoma"/>
                <w:sz w:val="14"/>
                <w:szCs w:val="14"/>
                <w:lang w:val="en-US"/>
              </w:rPr>
              <w:t>x</w:t>
            </w:r>
            <w:r w:rsidRPr="001F61E3">
              <w:rPr>
                <w:rFonts w:ascii="Tahoma" w:hAnsi="Tahoma" w:cs="Tahoma"/>
                <w:iCs/>
                <w:color w:val="333333"/>
                <w:sz w:val="14"/>
                <w:szCs w:val="14"/>
                <w:lang w:val="en-US" w:eastAsia="it-IT"/>
              </w:rPr>
              <w:t xml:space="preserve">; </w:t>
            </w:r>
            <w:r w:rsidRPr="001F61E3">
              <w:rPr>
                <w:rFonts w:ascii="Tahoma" w:hAnsi="Tahoma" w:cs="Tahoma"/>
                <w:b/>
                <w:iCs/>
                <w:color w:val="333333"/>
                <w:sz w:val="14"/>
                <w:szCs w:val="14"/>
                <w:lang w:val="en-US" w:eastAsia="it-IT"/>
              </w:rPr>
              <w:t>ISSN</w:t>
            </w:r>
            <w:r w:rsidRPr="001F61E3">
              <w:rPr>
                <w:rFonts w:ascii="Tahoma" w:hAnsi="Tahoma" w:cs="Tahoma"/>
                <w:iCs/>
                <w:color w:val="333333"/>
                <w:sz w:val="14"/>
                <w:szCs w:val="14"/>
                <w:lang w:val="en-US" w:eastAsia="it-IT"/>
              </w:rPr>
              <w:t xml:space="preserve"> 2283-9216</w:t>
            </w:r>
          </w:p>
        </w:tc>
      </w:tr>
    </w:tbl>
    <w:bookmarkEnd w:id="0"/>
    <w:p w14:paraId="342FDAE6" w14:textId="77777777" w:rsidR="00895B9F" w:rsidRDefault="00895B9F" w:rsidP="00B57E6F">
      <w:pPr>
        <w:pStyle w:val="CETAuthors"/>
        <w:rPr>
          <w:noProof w:val="0"/>
          <w:sz w:val="32"/>
        </w:rPr>
      </w:pPr>
      <w:r w:rsidRPr="00895B9F">
        <w:rPr>
          <w:noProof w:val="0"/>
          <w:sz w:val="32"/>
        </w:rPr>
        <w:t>Electrochemical CO</w:t>
      </w:r>
      <w:r w:rsidRPr="00895B9F">
        <w:rPr>
          <w:noProof w:val="0"/>
          <w:sz w:val="32"/>
          <w:vertAlign w:val="subscript"/>
        </w:rPr>
        <w:t>2</w:t>
      </w:r>
      <w:r w:rsidRPr="00895B9F">
        <w:rPr>
          <w:noProof w:val="0"/>
          <w:sz w:val="32"/>
        </w:rPr>
        <w:t xml:space="preserve"> recycling demonstration plant: Design and commissioning of carbon capture and electrochemical CO</w:t>
      </w:r>
      <w:r w:rsidRPr="00895B9F">
        <w:rPr>
          <w:noProof w:val="0"/>
          <w:sz w:val="32"/>
          <w:vertAlign w:val="subscript"/>
        </w:rPr>
        <w:t>2</w:t>
      </w:r>
      <w:r w:rsidRPr="00895B9F">
        <w:rPr>
          <w:noProof w:val="0"/>
          <w:sz w:val="32"/>
        </w:rPr>
        <w:t xml:space="preserve"> conversion in a cement plant</w:t>
      </w:r>
    </w:p>
    <w:p w14:paraId="0488FED2" w14:textId="6AF6621C" w:rsidR="00B57E6F" w:rsidRPr="00895B9F" w:rsidRDefault="00895B9F" w:rsidP="00B57E6F">
      <w:pPr>
        <w:pStyle w:val="CETAuthors"/>
        <w:rPr>
          <w:lang w:val="es-ES"/>
        </w:rPr>
      </w:pPr>
      <w:r w:rsidRPr="00895B9F">
        <w:rPr>
          <w:lang w:val="es-ES"/>
        </w:rPr>
        <w:t>Jose Antonio Abarca, Javier Z</w:t>
      </w:r>
      <w:r>
        <w:rPr>
          <w:lang w:val="es-ES"/>
        </w:rPr>
        <w:t>orrilla, Lucía Gómez-Coma, Guillermo Díaz-Sainz, Angel Irabien</w:t>
      </w:r>
    </w:p>
    <w:p w14:paraId="2936D013" w14:textId="42EE9DBA" w:rsidR="00895B9F" w:rsidRDefault="00895B9F" w:rsidP="00B57E6F">
      <w:pPr>
        <w:pStyle w:val="CETAddress"/>
        <w:rPr>
          <w:lang w:val="es-ES"/>
        </w:rPr>
      </w:pPr>
      <w:r w:rsidRPr="00895B9F">
        <w:rPr>
          <w:lang w:val="es-ES"/>
        </w:rPr>
        <w:t>Departamento de Ingenierías Química y Biomolecular, Universidad de Cantabria, Av. de los Castros s/n, 39005 Santander, España</w:t>
      </w:r>
    </w:p>
    <w:p w14:paraId="5725D045" w14:textId="77777777" w:rsidR="00895B9F" w:rsidRPr="00895B9F" w:rsidRDefault="00895B9F" w:rsidP="00B57E6F">
      <w:pPr>
        <w:pStyle w:val="CETAddress"/>
        <w:rPr>
          <w:lang w:val="es-ES"/>
        </w:rPr>
      </w:pPr>
    </w:p>
    <w:p w14:paraId="41BE1CE8" w14:textId="08D2BE65" w:rsidR="00A95366" w:rsidRPr="00A95366" w:rsidRDefault="00A95366" w:rsidP="00A95366">
      <w:pPr>
        <w:pStyle w:val="CETHeading1"/>
        <w:numPr>
          <w:ilvl w:val="0"/>
          <w:numId w:val="0"/>
        </w:numPr>
        <w:rPr>
          <w:lang w:val="en-GB"/>
        </w:rPr>
      </w:pPr>
      <w:r>
        <w:rPr>
          <w:lang w:val="en-GB"/>
        </w:rPr>
        <w:t>Abstract</w:t>
      </w:r>
    </w:p>
    <w:p w14:paraId="1FB116E8" w14:textId="42BD5B3A" w:rsidR="00A95366" w:rsidRPr="00A95366" w:rsidRDefault="00A95366" w:rsidP="00A95366">
      <w:pPr>
        <w:pStyle w:val="CETHeading1"/>
        <w:numPr>
          <w:ilvl w:val="0"/>
          <w:numId w:val="0"/>
        </w:numPr>
        <w:jc w:val="both"/>
        <w:rPr>
          <w:b w:val="0"/>
          <w:sz w:val="18"/>
          <w:lang w:val="en-GB"/>
        </w:rPr>
      </w:pPr>
      <w:r w:rsidRPr="00A95366">
        <w:rPr>
          <w:b w:val="0"/>
          <w:sz w:val="18"/>
          <w:lang w:val="en-GB"/>
        </w:rPr>
        <w:t>This study presents the</w:t>
      </w:r>
      <w:r w:rsidR="0066324B">
        <w:rPr>
          <w:b w:val="0"/>
          <w:sz w:val="18"/>
          <w:lang w:val="en-GB"/>
        </w:rPr>
        <w:t xml:space="preserve"> design,</w:t>
      </w:r>
      <w:r w:rsidRPr="00A95366">
        <w:rPr>
          <w:b w:val="0"/>
          <w:sz w:val="18"/>
          <w:lang w:val="en-GB"/>
        </w:rPr>
        <w:t xml:space="preserve"> experimental validation</w:t>
      </w:r>
      <w:r w:rsidR="0066324B">
        <w:rPr>
          <w:b w:val="0"/>
          <w:sz w:val="18"/>
          <w:lang w:val="en-GB"/>
        </w:rPr>
        <w:t>,</w:t>
      </w:r>
      <w:r w:rsidRPr="00A95366">
        <w:rPr>
          <w:b w:val="0"/>
          <w:sz w:val="18"/>
          <w:lang w:val="en-GB"/>
        </w:rPr>
        <w:t xml:space="preserve"> and integration of a CO</w:t>
      </w:r>
      <w:r w:rsidRPr="00A95366">
        <w:rPr>
          <w:rFonts w:ascii="Cambria Math" w:hAnsi="Cambria Math" w:cs="Cambria Math"/>
          <w:b w:val="0"/>
          <w:sz w:val="18"/>
          <w:lang w:val="en-GB"/>
        </w:rPr>
        <w:t>₂</w:t>
      </w:r>
      <w:r w:rsidRPr="00A95366">
        <w:rPr>
          <w:b w:val="0"/>
          <w:sz w:val="18"/>
          <w:lang w:val="en-GB"/>
        </w:rPr>
        <w:t xml:space="preserve"> capture and utilization </w:t>
      </w:r>
      <w:r w:rsidR="0066324B">
        <w:rPr>
          <w:b w:val="0"/>
          <w:sz w:val="18"/>
          <w:lang w:val="en-GB"/>
        </w:rPr>
        <w:t>demonstration plant</w:t>
      </w:r>
      <w:r w:rsidR="0066324B" w:rsidRPr="00A95366">
        <w:rPr>
          <w:b w:val="0"/>
          <w:sz w:val="18"/>
          <w:lang w:val="en-GB"/>
        </w:rPr>
        <w:t xml:space="preserve"> </w:t>
      </w:r>
      <w:r w:rsidRPr="00A95366">
        <w:rPr>
          <w:b w:val="0"/>
          <w:sz w:val="18"/>
          <w:lang w:val="en-GB"/>
        </w:rPr>
        <w:t>aimed at industrial decarbonization, with particular focus on cement plant exhaust gases. A membrane</w:t>
      </w:r>
      <w:r w:rsidRPr="00A95366">
        <w:rPr>
          <w:rFonts w:ascii="Cambria Math" w:hAnsi="Cambria Math" w:cs="Cambria Math"/>
          <w:b w:val="0"/>
          <w:sz w:val="18"/>
          <w:lang w:val="en-GB"/>
        </w:rPr>
        <w:t>‑</w:t>
      </w:r>
      <w:r w:rsidRPr="00A95366">
        <w:rPr>
          <w:b w:val="0"/>
          <w:sz w:val="18"/>
          <w:lang w:val="en-GB"/>
        </w:rPr>
        <w:t>based capture unit employing polymeric hollow</w:t>
      </w:r>
      <w:r w:rsidRPr="00A95366">
        <w:rPr>
          <w:rFonts w:ascii="Cambria Math" w:hAnsi="Cambria Math" w:cs="Cambria Math"/>
          <w:b w:val="0"/>
          <w:sz w:val="18"/>
          <w:lang w:val="en-GB"/>
        </w:rPr>
        <w:t>‑</w:t>
      </w:r>
      <w:proofErr w:type="spellStart"/>
      <w:r w:rsidRPr="00A95366">
        <w:rPr>
          <w:b w:val="0"/>
          <w:sz w:val="18"/>
          <w:lang w:val="en-GB"/>
        </w:rPr>
        <w:t>fiber</w:t>
      </w:r>
      <w:proofErr w:type="spellEnd"/>
      <w:r w:rsidRPr="00A95366">
        <w:rPr>
          <w:b w:val="0"/>
          <w:sz w:val="18"/>
          <w:lang w:val="en-GB"/>
        </w:rPr>
        <w:t xml:space="preserve"> modules enriches CO</w:t>
      </w:r>
      <w:r w:rsidRPr="00A95366">
        <w:rPr>
          <w:rFonts w:ascii="Cambria Math" w:hAnsi="Cambria Math" w:cs="Cambria Math"/>
          <w:b w:val="0"/>
          <w:sz w:val="18"/>
          <w:lang w:val="en-GB"/>
        </w:rPr>
        <w:t>₂</w:t>
      </w:r>
      <w:r w:rsidRPr="00A95366">
        <w:rPr>
          <w:b w:val="0"/>
          <w:sz w:val="18"/>
          <w:lang w:val="en-GB"/>
        </w:rPr>
        <w:t xml:space="preserve"> from flue gas streams containing 7–15% v/v CO</w:t>
      </w:r>
      <w:r w:rsidRPr="00A95366">
        <w:rPr>
          <w:rFonts w:ascii="Cambria Math" w:hAnsi="Cambria Math" w:cs="Cambria Math"/>
          <w:b w:val="0"/>
          <w:sz w:val="18"/>
          <w:lang w:val="en-GB"/>
        </w:rPr>
        <w:t>₂</w:t>
      </w:r>
      <w:r w:rsidRPr="00A95366">
        <w:rPr>
          <w:b w:val="0"/>
          <w:sz w:val="18"/>
          <w:lang w:val="en-GB"/>
        </w:rPr>
        <w:t xml:space="preserve"> up to concentrations exceeding 95%. The captured CO</w:t>
      </w:r>
      <w:r w:rsidRPr="00A95366">
        <w:rPr>
          <w:rFonts w:ascii="Cambria Math" w:hAnsi="Cambria Math" w:cs="Cambria Math"/>
          <w:b w:val="0"/>
          <w:sz w:val="18"/>
          <w:lang w:val="en-GB"/>
        </w:rPr>
        <w:t>₂</w:t>
      </w:r>
      <w:r w:rsidRPr="00A95366">
        <w:rPr>
          <w:b w:val="0"/>
          <w:sz w:val="18"/>
          <w:lang w:val="en-GB"/>
        </w:rPr>
        <w:t xml:space="preserve"> is subsequently converted to formate via electrochemical CO</w:t>
      </w:r>
      <w:r w:rsidRPr="00A95366">
        <w:rPr>
          <w:rFonts w:ascii="Cambria Math" w:hAnsi="Cambria Math" w:cs="Cambria Math"/>
          <w:b w:val="0"/>
          <w:sz w:val="18"/>
          <w:lang w:val="en-GB"/>
        </w:rPr>
        <w:t>₂</w:t>
      </w:r>
      <w:r w:rsidRPr="00A95366">
        <w:rPr>
          <w:b w:val="0"/>
          <w:sz w:val="18"/>
          <w:lang w:val="en-GB"/>
        </w:rPr>
        <w:t xml:space="preserve"> reduction (ERCO</w:t>
      </w:r>
      <w:r w:rsidRPr="00A95366">
        <w:rPr>
          <w:rFonts w:ascii="Cambria Math" w:hAnsi="Cambria Math" w:cs="Cambria Math"/>
          <w:b w:val="0"/>
          <w:sz w:val="18"/>
          <w:lang w:val="en-GB"/>
        </w:rPr>
        <w:t>₂</w:t>
      </w:r>
      <w:r w:rsidRPr="00A95366">
        <w:rPr>
          <w:b w:val="0"/>
          <w:sz w:val="18"/>
          <w:lang w:val="en-GB"/>
        </w:rPr>
        <w:t>) in a laboratory</w:t>
      </w:r>
      <w:r w:rsidRPr="00A95366">
        <w:rPr>
          <w:rFonts w:ascii="Cambria Math" w:hAnsi="Cambria Math" w:cs="Cambria Math"/>
          <w:b w:val="0"/>
          <w:sz w:val="18"/>
          <w:lang w:val="en-GB"/>
        </w:rPr>
        <w:t>‑</w:t>
      </w:r>
      <w:r w:rsidRPr="00A95366">
        <w:rPr>
          <w:b w:val="0"/>
          <w:sz w:val="18"/>
          <w:lang w:val="en-GB"/>
        </w:rPr>
        <w:t>scale electrolyzer operating with a 100 cm² gas diffusion electrode based on (</w:t>
      </w:r>
      <w:proofErr w:type="spellStart"/>
      <w:r w:rsidRPr="00A95366">
        <w:rPr>
          <w:b w:val="0"/>
          <w:sz w:val="18"/>
          <w:lang w:val="en-GB"/>
        </w:rPr>
        <w:t>BiO</w:t>
      </w:r>
      <w:proofErr w:type="spellEnd"/>
      <w:r w:rsidRPr="00A95366">
        <w:rPr>
          <w:b w:val="0"/>
          <w:sz w:val="18"/>
          <w:lang w:val="en-GB"/>
        </w:rPr>
        <w:t>)</w:t>
      </w:r>
      <w:r w:rsidRPr="00A95366">
        <w:rPr>
          <w:rFonts w:ascii="Cambria Math" w:hAnsi="Cambria Math" w:cs="Cambria Math"/>
          <w:b w:val="0"/>
          <w:sz w:val="18"/>
          <w:lang w:val="en-GB"/>
        </w:rPr>
        <w:t>₂</w:t>
      </w:r>
      <w:r w:rsidRPr="00A95366">
        <w:rPr>
          <w:b w:val="0"/>
          <w:sz w:val="18"/>
          <w:lang w:val="en-GB"/>
        </w:rPr>
        <w:t>CO</w:t>
      </w:r>
      <w:r w:rsidRPr="00A95366">
        <w:rPr>
          <w:rFonts w:ascii="Cambria Math" w:hAnsi="Cambria Math" w:cs="Cambria Math"/>
          <w:b w:val="0"/>
          <w:sz w:val="18"/>
          <w:lang w:val="en-GB"/>
        </w:rPr>
        <w:t>₃</w:t>
      </w:r>
      <w:r w:rsidRPr="00A95366">
        <w:rPr>
          <w:b w:val="0"/>
          <w:sz w:val="18"/>
          <w:lang w:val="en-GB"/>
        </w:rPr>
        <w:t>. Stable long</w:t>
      </w:r>
      <w:r w:rsidRPr="00A95366">
        <w:rPr>
          <w:rFonts w:ascii="Cambria Math" w:hAnsi="Cambria Math" w:cs="Cambria Math"/>
          <w:b w:val="0"/>
          <w:sz w:val="18"/>
          <w:lang w:val="en-GB"/>
        </w:rPr>
        <w:t>‑</w:t>
      </w:r>
      <w:r w:rsidRPr="00A95366">
        <w:rPr>
          <w:b w:val="0"/>
          <w:sz w:val="18"/>
          <w:lang w:val="en-GB"/>
        </w:rPr>
        <w:t xml:space="preserve">term operation is demonstrated over 12 consecutive days, achieving </w:t>
      </w:r>
      <w:r w:rsidR="00CA668A">
        <w:rPr>
          <w:b w:val="0"/>
          <w:sz w:val="18"/>
          <w:lang w:val="en-GB"/>
        </w:rPr>
        <w:t xml:space="preserve">initial </w:t>
      </w:r>
      <w:r w:rsidR="00294385">
        <w:rPr>
          <w:b w:val="0"/>
          <w:sz w:val="18"/>
          <w:lang w:val="en-GB"/>
        </w:rPr>
        <w:t>F</w:t>
      </w:r>
      <w:r w:rsidRPr="00A95366">
        <w:rPr>
          <w:b w:val="0"/>
          <w:sz w:val="18"/>
          <w:lang w:val="en-GB"/>
        </w:rPr>
        <w:t>aradaic efficiencies</w:t>
      </w:r>
      <w:r w:rsidR="001F4318">
        <w:rPr>
          <w:b w:val="0"/>
          <w:sz w:val="18"/>
          <w:lang w:val="en-GB"/>
        </w:rPr>
        <w:t xml:space="preserve"> (FE)</w:t>
      </w:r>
      <w:r w:rsidR="00CA668A">
        <w:rPr>
          <w:b w:val="0"/>
          <w:sz w:val="18"/>
          <w:lang w:val="en-GB"/>
        </w:rPr>
        <w:t xml:space="preserve"> for formate</w:t>
      </w:r>
      <w:r w:rsidRPr="00A95366">
        <w:rPr>
          <w:b w:val="0"/>
          <w:sz w:val="18"/>
          <w:lang w:val="en-GB"/>
        </w:rPr>
        <w:t xml:space="preserve"> close to 100% and maintaining ~75% after prolonged testing, with cumulative production exceeding 20 mol. Experimental datasets are used to develop predictive models for both capture and conversion stages, which are integrated into a digital twin capable of accurately predicting system performance (R² ≈ 0.99 for key variables). Based on these results, an integrated pilot plant treating up to 20 L·min</w:t>
      </w:r>
      <w:r w:rsidRPr="00A95366">
        <w:rPr>
          <w:rFonts w:ascii="Cambria Math" w:hAnsi="Cambria Math" w:cs="Cambria Math"/>
          <w:b w:val="0"/>
          <w:sz w:val="18"/>
          <w:lang w:val="en-GB"/>
        </w:rPr>
        <w:t>⁻</w:t>
      </w:r>
      <w:r w:rsidRPr="00A95366">
        <w:rPr>
          <w:rFonts w:cs="Arial"/>
          <w:b w:val="0"/>
          <w:sz w:val="18"/>
          <w:lang w:val="en-GB"/>
        </w:rPr>
        <w:t>¹</w:t>
      </w:r>
      <w:r w:rsidRPr="00A95366">
        <w:rPr>
          <w:b w:val="0"/>
          <w:sz w:val="18"/>
          <w:lang w:val="en-GB"/>
        </w:rPr>
        <w:t xml:space="preserve"> of </w:t>
      </w:r>
      <w:r w:rsidR="0066324B">
        <w:rPr>
          <w:b w:val="0"/>
          <w:sz w:val="18"/>
          <w:lang w:val="en-GB"/>
        </w:rPr>
        <w:t xml:space="preserve">a concentrated </w:t>
      </w:r>
      <w:r w:rsidRPr="00A95366">
        <w:rPr>
          <w:b w:val="0"/>
          <w:sz w:val="18"/>
          <w:lang w:val="en-GB"/>
        </w:rPr>
        <w:t>CO</w:t>
      </w:r>
      <w:r w:rsidRPr="00A95366">
        <w:rPr>
          <w:rFonts w:ascii="Cambria Math" w:hAnsi="Cambria Math" w:cs="Cambria Math"/>
          <w:b w:val="0"/>
          <w:sz w:val="18"/>
          <w:lang w:val="en-GB"/>
        </w:rPr>
        <w:t>₂</w:t>
      </w:r>
      <w:r w:rsidRPr="00A95366">
        <w:rPr>
          <w:b w:val="0"/>
          <w:sz w:val="18"/>
          <w:lang w:val="en-GB"/>
        </w:rPr>
        <w:t xml:space="preserve"> </w:t>
      </w:r>
      <w:r w:rsidR="0066324B">
        <w:rPr>
          <w:b w:val="0"/>
          <w:sz w:val="18"/>
          <w:lang w:val="en-GB"/>
        </w:rPr>
        <w:t xml:space="preserve">stream </w:t>
      </w:r>
      <w:r w:rsidRPr="00A95366">
        <w:rPr>
          <w:b w:val="0"/>
          <w:sz w:val="18"/>
          <w:lang w:val="en-GB"/>
        </w:rPr>
        <w:t>and employing a total electrochemical active area of 1000 cm² is proposed, supporting the feasibility of scaling CCU technologies for industrial deployment.</w:t>
      </w:r>
    </w:p>
    <w:p w14:paraId="476B2F2E" w14:textId="26C2F155" w:rsidR="00600535" w:rsidRDefault="00600535" w:rsidP="00600535">
      <w:pPr>
        <w:pStyle w:val="CETHeading1"/>
        <w:rPr>
          <w:lang w:val="en-GB"/>
        </w:rPr>
      </w:pPr>
      <w:r w:rsidRPr="00B57B36">
        <w:rPr>
          <w:lang w:val="en-GB"/>
        </w:rPr>
        <w:t>Introduction</w:t>
      </w:r>
    </w:p>
    <w:p w14:paraId="6D3B3C16" w14:textId="352009E5" w:rsidR="00895B9F" w:rsidRDefault="00895B9F" w:rsidP="004C6095">
      <w:pPr>
        <w:pStyle w:val="CETBodytext"/>
        <w:spacing w:after="120"/>
        <w:rPr>
          <w:lang w:val="en-GB"/>
        </w:rPr>
      </w:pPr>
      <w:r w:rsidRPr="00895B9F">
        <w:rPr>
          <w:lang w:val="en-GB"/>
        </w:rPr>
        <w:t>In the current global context of increasing atmospheric CO</w:t>
      </w:r>
      <w:r w:rsidRPr="00895B9F">
        <w:rPr>
          <w:rFonts w:ascii="Cambria Math" w:hAnsi="Cambria Math" w:cs="Cambria Math"/>
          <w:lang w:val="en-GB"/>
        </w:rPr>
        <w:t>₂</w:t>
      </w:r>
      <w:r w:rsidRPr="00895B9F">
        <w:rPr>
          <w:lang w:val="en-GB"/>
        </w:rPr>
        <w:t xml:space="preserve"> emissions caused by human activities, it is essential to adopt effective mitigation strategies in order to prevent the adverse effects of climate change and global warming. To this end, numerous approaches aim to promote the decarbonization of society, including the deployment of renewable energy sources, the electrification of industrial processes, and improvements in energy efficiency. However, </w:t>
      </w:r>
      <w:r w:rsidR="004C6095">
        <w:rPr>
          <w:lang w:val="en-GB"/>
        </w:rPr>
        <w:t xml:space="preserve">several industrial sectors, most notably the cement, chemical, and aviation industries, remain </w:t>
      </w:r>
      <w:r w:rsidR="00275607">
        <w:rPr>
          <w:lang w:val="en-GB"/>
        </w:rPr>
        <w:t>difficult to abate</w:t>
      </w:r>
      <w:r w:rsidR="004C6095">
        <w:rPr>
          <w:lang w:val="en-GB"/>
        </w:rPr>
        <w:t xml:space="preserve"> </w:t>
      </w:r>
      <w:r w:rsidR="00CE12D8">
        <w:rPr>
          <w:lang w:val="en-GB"/>
        </w:rPr>
        <w:t>and require additional decarbo</w:t>
      </w:r>
      <w:r w:rsidR="005333D8">
        <w:rPr>
          <w:lang w:val="en-GB"/>
        </w:rPr>
        <w:t>nization strategies</w:t>
      </w:r>
      <w:r w:rsidR="0066324B">
        <w:rPr>
          <w:lang w:val="en-GB"/>
        </w:rPr>
        <w:t xml:space="preserve"> </w:t>
      </w:r>
      <w:r w:rsidR="000B6622">
        <w:rPr>
          <w:lang w:val="en-GB"/>
        </w:rPr>
        <w:t>(Rafiee et al., 2018)</w:t>
      </w:r>
      <w:r w:rsidRPr="00895B9F">
        <w:rPr>
          <w:lang w:val="en-GB"/>
        </w:rPr>
        <w:t>.</w:t>
      </w:r>
      <w:r>
        <w:rPr>
          <w:lang w:val="en-GB"/>
        </w:rPr>
        <w:t xml:space="preserve"> </w:t>
      </w:r>
    </w:p>
    <w:p w14:paraId="27134266" w14:textId="14576415" w:rsidR="00895B9F" w:rsidRDefault="004C6095" w:rsidP="004C6095">
      <w:pPr>
        <w:pStyle w:val="CETBodytext"/>
        <w:spacing w:after="120"/>
        <w:rPr>
          <w:lang w:val="en-GB"/>
        </w:rPr>
      </w:pPr>
      <w:r w:rsidRPr="004C6095">
        <w:rPr>
          <w:lang w:val="en-GB"/>
        </w:rPr>
        <w:t>This decarbonization pathway generally consists of two main steps. In the first step, CO</w:t>
      </w:r>
      <w:r w:rsidRPr="004C6095">
        <w:rPr>
          <w:rFonts w:ascii="Cambria Math" w:hAnsi="Cambria Math" w:cs="Cambria Math"/>
          <w:lang w:val="en-GB"/>
        </w:rPr>
        <w:t>₂</w:t>
      </w:r>
      <w:r w:rsidRPr="004C6095">
        <w:rPr>
          <w:lang w:val="en-GB"/>
        </w:rPr>
        <w:t xml:space="preserve"> is recovered from industrial off-gas streams. In the subsequent step, the captured CO</w:t>
      </w:r>
      <w:r w:rsidRPr="004C6095">
        <w:rPr>
          <w:rFonts w:ascii="Cambria Math" w:hAnsi="Cambria Math" w:cs="Cambria Math"/>
          <w:lang w:val="en-GB"/>
        </w:rPr>
        <w:t>₂</w:t>
      </w:r>
      <w:r w:rsidRPr="004C6095">
        <w:rPr>
          <w:lang w:val="en-GB"/>
        </w:rPr>
        <w:t xml:space="preserve"> is upgraded into value</w:t>
      </w:r>
      <w:r w:rsidRPr="004C6095">
        <w:rPr>
          <w:rFonts w:ascii="Cambria Math" w:hAnsi="Cambria Math" w:cs="Cambria Math"/>
          <w:lang w:val="en-GB"/>
        </w:rPr>
        <w:t>‑</w:t>
      </w:r>
      <w:r w:rsidRPr="004C6095">
        <w:rPr>
          <w:lang w:val="en-GB"/>
        </w:rPr>
        <w:t>added chemical products. To enable efficient separation of CO</w:t>
      </w:r>
      <w:r w:rsidRPr="004C6095">
        <w:rPr>
          <w:rFonts w:ascii="Cambria Math" w:hAnsi="Cambria Math" w:cs="Cambria Math"/>
          <w:lang w:val="en-GB"/>
        </w:rPr>
        <w:t>₂</w:t>
      </w:r>
      <w:r w:rsidRPr="004C6095">
        <w:rPr>
          <w:lang w:val="en-GB"/>
        </w:rPr>
        <w:t xml:space="preserve"> from flue gases and to avoid its emission into the atmosphere, a variety of capture technologies </w:t>
      </w:r>
      <w:r>
        <w:rPr>
          <w:lang w:val="en-GB"/>
        </w:rPr>
        <w:t>have</w:t>
      </w:r>
      <w:r w:rsidRPr="004C6095">
        <w:rPr>
          <w:lang w:val="en-GB"/>
        </w:rPr>
        <w:t xml:space="preserve"> been </w:t>
      </w:r>
      <w:r w:rsidR="006B30F5">
        <w:rPr>
          <w:lang w:val="en-GB"/>
        </w:rPr>
        <w:t>well studied</w:t>
      </w:r>
      <w:r w:rsidRPr="004C6095">
        <w:rPr>
          <w:lang w:val="en-GB"/>
        </w:rPr>
        <w:t>. These include absorption-based processes, adsorption on solid materials, membrane separation systems, and cryogenic methods</w:t>
      </w:r>
      <w:r w:rsidR="008736DD">
        <w:rPr>
          <w:lang w:val="en-GB"/>
        </w:rPr>
        <w:t xml:space="preserve"> (</w:t>
      </w:r>
      <w:proofErr w:type="spellStart"/>
      <w:r w:rsidR="008736DD" w:rsidRPr="00177C49">
        <w:t>Mikulčić</w:t>
      </w:r>
      <w:proofErr w:type="spellEnd"/>
      <w:r w:rsidR="008736DD">
        <w:t xml:space="preserve"> et al. 2019)</w:t>
      </w:r>
      <w:r w:rsidRPr="004C6095">
        <w:rPr>
          <w:lang w:val="en-GB"/>
        </w:rPr>
        <w:t>.</w:t>
      </w:r>
      <w:r>
        <w:rPr>
          <w:lang w:val="en-GB"/>
        </w:rPr>
        <w:t xml:space="preserve"> </w:t>
      </w:r>
      <w:r w:rsidRPr="004C6095">
        <w:rPr>
          <w:lang w:val="en-GB"/>
        </w:rPr>
        <w:t xml:space="preserve">Among the available capture options, membrane-based separation has attracted considerable interest owing to its compact footprint, low energy requirements, operational simplicity, and improved selectivity </w:t>
      </w:r>
      <w:r w:rsidR="00B238F8" w:rsidRPr="00B238F8">
        <w:rPr>
          <w:lang w:val="en-GB"/>
        </w:rPr>
        <w:t>characteristics</w:t>
      </w:r>
      <w:r w:rsidR="00B238F8">
        <w:rPr>
          <w:lang w:val="en-GB"/>
        </w:rPr>
        <w:t xml:space="preserve"> </w:t>
      </w:r>
      <w:r w:rsidR="00913C91">
        <w:rPr>
          <w:lang w:val="en-GB"/>
        </w:rPr>
        <w:t>(He et al., 2015)</w:t>
      </w:r>
      <w:r w:rsidRPr="004C6095">
        <w:rPr>
          <w:lang w:val="en-GB"/>
        </w:rPr>
        <w:t>. Furthermore, the inherent modularity of membrane systems facilitates straightforward scaling, reinforcing their potential for large-scale industrial CO</w:t>
      </w:r>
      <w:r w:rsidRPr="004C6095">
        <w:rPr>
          <w:rFonts w:ascii="Cambria Math" w:hAnsi="Cambria Math" w:cs="Cambria Math"/>
          <w:lang w:val="en-GB"/>
        </w:rPr>
        <w:t>₂</w:t>
      </w:r>
      <w:r w:rsidRPr="004C6095">
        <w:rPr>
          <w:lang w:val="en-GB"/>
        </w:rPr>
        <w:t xml:space="preserve"> capture. In particular, polymeric membranes are well suited for post-combustion separation, as they can efficiently discriminate CO</w:t>
      </w:r>
      <w:r w:rsidRPr="004C6095">
        <w:rPr>
          <w:rFonts w:ascii="Cambria Math" w:hAnsi="Cambria Math" w:cs="Cambria Math"/>
          <w:lang w:val="en-GB"/>
        </w:rPr>
        <w:t>₂</w:t>
      </w:r>
      <w:r w:rsidRPr="004C6095">
        <w:rPr>
          <w:lang w:val="en-GB"/>
        </w:rPr>
        <w:t xml:space="preserve"> from the main components of flue gas streams, which primarily consist of CO</w:t>
      </w:r>
      <w:r w:rsidRPr="004C6095">
        <w:rPr>
          <w:rFonts w:ascii="Cambria Math" w:hAnsi="Cambria Math" w:cs="Cambria Math"/>
          <w:lang w:val="en-GB"/>
        </w:rPr>
        <w:t>₂</w:t>
      </w:r>
      <w:r w:rsidRPr="004C6095">
        <w:rPr>
          <w:lang w:val="en-GB"/>
        </w:rPr>
        <w:t>, N</w:t>
      </w:r>
      <w:r w:rsidRPr="004C6095">
        <w:rPr>
          <w:rFonts w:ascii="Cambria Math" w:hAnsi="Cambria Math" w:cs="Cambria Math"/>
          <w:lang w:val="en-GB"/>
        </w:rPr>
        <w:t>₂</w:t>
      </w:r>
      <w:r w:rsidRPr="004C6095">
        <w:rPr>
          <w:lang w:val="en-GB"/>
        </w:rPr>
        <w:t>, O</w:t>
      </w:r>
      <w:r w:rsidRPr="004C6095">
        <w:rPr>
          <w:rFonts w:ascii="Cambria Math" w:hAnsi="Cambria Math" w:cs="Cambria Math"/>
          <w:lang w:val="en-GB"/>
        </w:rPr>
        <w:t>₂</w:t>
      </w:r>
      <w:r w:rsidRPr="004C6095">
        <w:rPr>
          <w:lang w:val="en-GB"/>
        </w:rPr>
        <w:t>, and minor amounts of CO or NO</w:t>
      </w:r>
      <w:r w:rsidRPr="004C6095">
        <w:rPr>
          <w:rFonts w:cs="Arial"/>
          <w:lang w:val="en-GB"/>
        </w:rPr>
        <w:t>ₓ</w:t>
      </w:r>
      <w:r w:rsidR="007E7F29">
        <w:rPr>
          <w:rFonts w:cs="Arial"/>
          <w:lang w:val="en-GB"/>
        </w:rPr>
        <w:t xml:space="preserve"> (Han and Ho, 2021)</w:t>
      </w:r>
      <w:r w:rsidRPr="004C6095">
        <w:rPr>
          <w:lang w:val="en-GB"/>
        </w:rPr>
        <w:t>.</w:t>
      </w:r>
    </w:p>
    <w:p w14:paraId="11D3AA8D" w14:textId="57A9ADA5" w:rsidR="004C6095" w:rsidRDefault="004C6095" w:rsidP="004C6095">
      <w:pPr>
        <w:pStyle w:val="CETBodytext"/>
        <w:spacing w:after="120"/>
        <w:rPr>
          <w:lang w:val="en-GB"/>
        </w:rPr>
      </w:pPr>
      <w:r w:rsidRPr="004C6095">
        <w:rPr>
          <w:lang w:val="en-GB"/>
        </w:rPr>
        <w:t>After capture, CO</w:t>
      </w:r>
      <w:r w:rsidRPr="004C6095">
        <w:rPr>
          <w:rFonts w:ascii="Cambria Math" w:hAnsi="Cambria Math" w:cs="Cambria Math"/>
          <w:lang w:val="en-GB"/>
        </w:rPr>
        <w:t>₂</w:t>
      </w:r>
      <w:r w:rsidRPr="004C6095">
        <w:rPr>
          <w:lang w:val="en-GB"/>
        </w:rPr>
        <w:t xml:space="preserve"> is fed into the conversion stage. Within this framework, the electrochemical reduction of CO</w:t>
      </w:r>
      <w:r w:rsidRPr="004C6095">
        <w:rPr>
          <w:rFonts w:ascii="Cambria Math" w:hAnsi="Cambria Math" w:cs="Cambria Math"/>
          <w:lang w:val="en-GB"/>
        </w:rPr>
        <w:t>₂</w:t>
      </w:r>
      <w:r w:rsidRPr="004C6095">
        <w:rPr>
          <w:lang w:val="en-GB"/>
        </w:rPr>
        <w:t xml:space="preserve"> (ERCO</w:t>
      </w:r>
      <w:r w:rsidRPr="004C6095">
        <w:rPr>
          <w:rFonts w:ascii="Cambria Math" w:hAnsi="Cambria Math" w:cs="Cambria Math"/>
          <w:lang w:val="en-GB"/>
        </w:rPr>
        <w:t>₂</w:t>
      </w:r>
      <w:r w:rsidRPr="004C6095">
        <w:rPr>
          <w:lang w:val="en-GB"/>
        </w:rPr>
        <w:t>) to value</w:t>
      </w:r>
      <w:r w:rsidRPr="004C6095">
        <w:rPr>
          <w:rFonts w:ascii="Cambria Math" w:hAnsi="Cambria Math" w:cs="Cambria Math"/>
          <w:lang w:val="en-GB"/>
        </w:rPr>
        <w:t>‑</w:t>
      </w:r>
      <w:r w:rsidRPr="004C6095">
        <w:rPr>
          <w:lang w:val="en-GB"/>
        </w:rPr>
        <w:t xml:space="preserve">added products has emerged as one of the most promising conversion pathways, offering </w:t>
      </w:r>
      <w:r w:rsidRPr="004C6095">
        <w:rPr>
          <w:lang w:val="en-GB"/>
        </w:rPr>
        <w:lastRenderedPageBreak/>
        <w:t>both economic and environmental advantages</w:t>
      </w:r>
      <w:r w:rsidR="00842A02">
        <w:rPr>
          <w:lang w:val="en-GB"/>
        </w:rPr>
        <w:t xml:space="preserve"> (Rumayor et al. 2019)</w:t>
      </w:r>
      <w:r w:rsidRPr="004C6095">
        <w:rPr>
          <w:lang w:val="en-GB"/>
        </w:rPr>
        <w:t xml:space="preserve">. At the laboratory scale, this technology has achieved remarkable progress, including high </w:t>
      </w:r>
      <w:r w:rsidR="001F4318">
        <w:rPr>
          <w:lang w:val="en-GB"/>
        </w:rPr>
        <w:t>F</w:t>
      </w:r>
      <w:r w:rsidRPr="004C6095">
        <w:rPr>
          <w:lang w:val="en-GB"/>
        </w:rPr>
        <w:t>aradaic efficiencies</w:t>
      </w:r>
      <w:r w:rsidR="001F4318">
        <w:rPr>
          <w:lang w:val="en-GB"/>
        </w:rPr>
        <w:t xml:space="preserve"> (FE)</w:t>
      </w:r>
      <w:r w:rsidRPr="004C6095">
        <w:rPr>
          <w:lang w:val="en-GB"/>
        </w:rPr>
        <w:t xml:space="preserve"> toward formate and the generation of products at elevated concentrations. In light of these developments, it is timely to consider the progression toward larger</w:t>
      </w:r>
      <w:r w:rsidRPr="004C6095">
        <w:rPr>
          <w:rFonts w:ascii="Cambria Math" w:hAnsi="Cambria Math" w:cs="Cambria Math"/>
          <w:lang w:val="en-GB"/>
        </w:rPr>
        <w:t>‑</w:t>
      </w:r>
      <w:r w:rsidRPr="004C6095">
        <w:rPr>
          <w:lang w:val="en-GB"/>
        </w:rPr>
        <w:t>scale implementation. Notably, several key intermediate milestones have been attained, such as the successful testing of prototypes with active areas ranging from 100 to 300 cm² under controlled laboratory conditions. These achievements support the feasibility of advancing toward an industrial</w:t>
      </w:r>
      <w:r w:rsidRPr="004C6095">
        <w:rPr>
          <w:rFonts w:ascii="Cambria Math" w:hAnsi="Cambria Math" w:cs="Cambria Math"/>
          <w:lang w:val="en-GB"/>
        </w:rPr>
        <w:t>‑</w:t>
      </w:r>
      <w:r w:rsidRPr="004C6095">
        <w:rPr>
          <w:lang w:val="en-GB"/>
        </w:rPr>
        <w:t>scale demonstration unit integrated into real industrial environments, such as cement manufacturing facilities</w:t>
      </w:r>
      <w:r w:rsidR="00065D20">
        <w:rPr>
          <w:lang w:val="en-GB"/>
        </w:rPr>
        <w:t xml:space="preserve"> (Abarca et al. 2026)</w:t>
      </w:r>
      <w:r w:rsidRPr="004C6095">
        <w:rPr>
          <w:lang w:val="en-GB"/>
        </w:rPr>
        <w:t>.</w:t>
      </w:r>
    </w:p>
    <w:p w14:paraId="44A3593A" w14:textId="77777777" w:rsidR="00230846" w:rsidRPr="00230846" w:rsidRDefault="00230846" w:rsidP="00230846">
      <w:pPr>
        <w:pStyle w:val="CETBodytext"/>
        <w:spacing w:after="120"/>
        <w:rPr>
          <w:lang w:val="en-GB"/>
        </w:rPr>
      </w:pPr>
      <w:r w:rsidRPr="00230846">
        <w:rPr>
          <w:lang w:val="en-GB"/>
        </w:rPr>
        <w:t>Accordingly, this study proposes the direct coupling of a cement plant’s combustion exhaust line with an integrated CO</w:t>
      </w:r>
      <w:r w:rsidRPr="00230846">
        <w:rPr>
          <w:rFonts w:ascii="Cambria Math" w:hAnsi="Cambria Math" w:cs="Cambria Math"/>
          <w:lang w:val="en-GB"/>
        </w:rPr>
        <w:t>₂</w:t>
      </w:r>
      <w:r w:rsidRPr="00230846">
        <w:rPr>
          <w:lang w:val="en-GB"/>
        </w:rPr>
        <w:t xml:space="preserve"> recycling system. The proposed configuration comprises a CO</w:t>
      </w:r>
      <w:r w:rsidRPr="00230846">
        <w:rPr>
          <w:rFonts w:ascii="Cambria Math" w:hAnsi="Cambria Math" w:cs="Cambria Math"/>
          <w:lang w:val="en-GB"/>
        </w:rPr>
        <w:t>₂</w:t>
      </w:r>
      <w:r w:rsidRPr="00230846">
        <w:rPr>
          <w:lang w:val="en-GB"/>
        </w:rPr>
        <w:t xml:space="preserve"> capture unit that supplies purified CO</w:t>
      </w:r>
      <w:r w:rsidRPr="00230846">
        <w:rPr>
          <w:rFonts w:ascii="Cambria Math" w:hAnsi="Cambria Math" w:cs="Cambria Math"/>
          <w:lang w:val="en-GB"/>
        </w:rPr>
        <w:t>₂</w:t>
      </w:r>
      <w:r w:rsidRPr="00230846">
        <w:rPr>
          <w:lang w:val="en-GB"/>
        </w:rPr>
        <w:t xml:space="preserve"> to a downstream electrochemical conversion module. The overall system is designed to handle a CO</w:t>
      </w:r>
      <w:r w:rsidRPr="00230846">
        <w:rPr>
          <w:rFonts w:ascii="Cambria Math" w:hAnsi="Cambria Math" w:cs="Cambria Math"/>
          <w:lang w:val="en-GB"/>
        </w:rPr>
        <w:t>₂</w:t>
      </w:r>
      <w:r w:rsidRPr="00230846">
        <w:rPr>
          <w:lang w:val="en-GB"/>
        </w:rPr>
        <w:t xml:space="preserve"> flow rate of 20 L</w:t>
      </w:r>
      <w:r w:rsidRPr="00230846">
        <w:rPr>
          <w:rFonts w:cs="Arial"/>
          <w:lang w:val="en-GB"/>
        </w:rPr>
        <w:t>·</w:t>
      </w:r>
      <w:r w:rsidRPr="00230846">
        <w:rPr>
          <w:lang w:val="en-GB"/>
        </w:rPr>
        <w:t>min</w:t>
      </w:r>
      <w:r w:rsidRPr="00230846">
        <w:rPr>
          <w:rFonts w:ascii="Cambria Math" w:hAnsi="Cambria Math" w:cs="Cambria Math"/>
          <w:lang w:val="en-GB"/>
        </w:rPr>
        <w:t>⁻</w:t>
      </w:r>
      <w:r w:rsidRPr="00230846">
        <w:rPr>
          <w:rFonts w:cs="Arial"/>
          <w:lang w:val="en-GB"/>
        </w:rPr>
        <w:t>¹</w:t>
      </w:r>
      <w:r w:rsidRPr="00230846">
        <w:rPr>
          <w:lang w:val="en-GB"/>
        </w:rPr>
        <w:t>, employing an electrochemical reactor with a total active area of 1000 cm</w:t>
      </w:r>
      <w:r w:rsidRPr="00230846">
        <w:rPr>
          <w:rFonts w:cs="Arial"/>
          <w:lang w:val="en-GB"/>
        </w:rPr>
        <w:t>²</w:t>
      </w:r>
      <w:r w:rsidRPr="00230846">
        <w:rPr>
          <w:lang w:val="en-GB"/>
        </w:rPr>
        <w:t>.</w:t>
      </w:r>
    </w:p>
    <w:p w14:paraId="05D6FD74" w14:textId="5122D651" w:rsidR="00230846" w:rsidRPr="00230846" w:rsidRDefault="00230846" w:rsidP="00230846">
      <w:pPr>
        <w:pStyle w:val="CETBodytext"/>
        <w:spacing w:after="120"/>
        <w:rPr>
          <w:lang w:val="en-GB"/>
        </w:rPr>
      </w:pPr>
      <w:r w:rsidRPr="00230846">
        <w:rPr>
          <w:lang w:val="en-GB"/>
        </w:rPr>
        <w:t>The initial phase focuses on defining the technical requirements for linking the CO</w:t>
      </w:r>
      <w:r w:rsidRPr="00230846">
        <w:rPr>
          <w:rFonts w:ascii="Cambria Math" w:hAnsi="Cambria Math" w:cs="Cambria Math"/>
          <w:lang w:val="en-GB"/>
        </w:rPr>
        <w:t>₂</w:t>
      </w:r>
      <w:r w:rsidRPr="00230846">
        <w:rPr>
          <w:lang w:val="en-GB"/>
        </w:rPr>
        <w:t xml:space="preserve"> recycling facility to the cement plant exhaust stack. For this purpose, gas samples are taken</w:t>
      </w:r>
      <w:r w:rsidR="0066324B">
        <w:rPr>
          <w:lang w:val="en-GB"/>
        </w:rPr>
        <w:t xml:space="preserve"> from the target industry</w:t>
      </w:r>
      <w:r w:rsidRPr="00230846">
        <w:rPr>
          <w:lang w:val="en-GB"/>
        </w:rPr>
        <w:t xml:space="preserve"> and </w:t>
      </w:r>
      <w:proofErr w:type="spellStart"/>
      <w:r w:rsidR="0066324B">
        <w:rPr>
          <w:lang w:val="en-GB"/>
        </w:rPr>
        <w:t>analyzed</w:t>
      </w:r>
      <w:proofErr w:type="spellEnd"/>
      <w:r w:rsidRPr="00230846">
        <w:rPr>
          <w:lang w:val="en-GB"/>
        </w:rPr>
        <w:t>, revealing CO</w:t>
      </w:r>
      <w:r w:rsidRPr="00230846">
        <w:rPr>
          <w:rFonts w:ascii="Cambria Math" w:hAnsi="Cambria Math" w:cs="Cambria Math"/>
          <w:lang w:val="en-GB"/>
        </w:rPr>
        <w:t>₂</w:t>
      </w:r>
      <w:r w:rsidRPr="00230846">
        <w:rPr>
          <w:lang w:val="en-GB"/>
        </w:rPr>
        <w:t xml:space="preserve"> concentrations reaching values of up to 15%. These measurements confirm the necessity of incorporating a dedicated CO</w:t>
      </w:r>
      <w:r w:rsidRPr="00230846">
        <w:rPr>
          <w:rFonts w:ascii="Cambria Math" w:hAnsi="Cambria Math" w:cs="Cambria Math"/>
          <w:lang w:val="en-GB"/>
        </w:rPr>
        <w:t>₂</w:t>
      </w:r>
      <w:r w:rsidRPr="00230846">
        <w:rPr>
          <w:lang w:val="en-GB"/>
        </w:rPr>
        <w:t xml:space="preserve"> capture stage </w:t>
      </w:r>
      <w:r>
        <w:rPr>
          <w:lang w:val="en-GB"/>
        </w:rPr>
        <w:t>before</w:t>
      </w:r>
      <w:r w:rsidRPr="00230846">
        <w:rPr>
          <w:lang w:val="en-GB"/>
        </w:rPr>
        <w:t xml:space="preserve"> electrochemical conversion. To meet this requirement, a membrane-based CO</w:t>
      </w:r>
      <w:r w:rsidRPr="00230846">
        <w:rPr>
          <w:rFonts w:ascii="Cambria Math" w:hAnsi="Cambria Math" w:cs="Cambria Math"/>
          <w:lang w:val="en-GB"/>
        </w:rPr>
        <w:t>₂</w:t>
      </w:r>
      <w:r w:rsidRPr="00230846">
        <w:rPr>
          <w:lang w:val="en-GB"/>
        </w:rPr>
        <w:t xml:space="preserve"> capture unit is selected, capable of enriching the CO</w:t>
      </w:r>
      <w:r w:rsidRPr="00230846">
        <w:rPr>
          <w:rFonts w:ascii="Cambria Math" w:hAnsi="Cambria Math" w:cs="Cambria Math"/>
          <w:lang w:val="en-GB"/>
        </w:rPr>
        <w:t>₂</w:t>
      </w:r>
      <w:r w:rsidRPr="00230846">
        <w:rPr>
          <w:lang w:val="en-GB"/>
        </w:rPr>
        <w:t xml:space="preserve"> stream to concentrations exceeding 95%, thus providing a suitable feed for the subsequent conversion process.</w:t>
      </w:r>
      <w:r>
        <w:rPr>
          <w:lang w:val="en-GB"/>
        </w:rPr>
        <w:t xml:space="preserve"> </w:t>
      </w:r>
      <w:r w:rsidRPr="00230846">
        <w:rPr>
          <w:lang w:val="en-GB"/>
        </w:rPr>
        <w:t xml:space="preserve">The electrochemical conversion section is composed of </w:t>
      </w:r>
      <w:r w:rsidR="008026AC">
        <w:rPr>
          <w:lang w:val="en-GB"/>
        </w:rPr>
        <w:t>multiple</w:t>
      </w:r>
      <w:r w:rsidRPr="00230846">
        <w:rPr>
          <w:lang w:val="en-GB"/>
        </w:rPr>
        <w:t xml:space="preserve"> reactor modules to process</w:t>
      </w:r>
      <w:r>
        <w:rPr>
          <w:lang w:val="en-GB"/>
        </w:rPr>
        <w:t xml:space="preserve"> a total flow rate of</w:t>
      </w:r>
      <w:r w:rsidRPr="00230846">
        <w:rPr>
          <w:lang w:val="en-GB"/>
        </w:rPr>
        <w:t xml:space="preserve"> 2</w:t>
      </w:r>
      <w:r>
        <w:rPr>
          <w:lang w:val="en-GB"/>
        </w:rPr>
        <w:t>0</w:t>
      </w:r>
      <w:r w:rsidRPr="00230846">
        <w:rPr>
          <w:lang w:val="en-GB"/>
        </w:rPr>
        <w:t xml:space="preserve"> L·min</w:t>
      </w:r>
      <w:r w:rsidRPr="00230846">
        <w:rPr>
          <w:rFonts w:ascii="Cambria Math" w:hAnsi="Cambria Math" w:cs="Cambria Math"/>
          <w:lang w:val="en-GB"/>
        </w:rPr>
        <w:t>⁻</w:t>
      </w:r>
      <w:r w:rsidRPr="00230846">
        <w:rPr>
          <w:rFonts w:cs="Arial"/>
          <w:lang w:val="en-GB"/>
        </w:rPr>
        <w:t>¹</w:t>
      </w:r>
      <w:r w:rsidRPr="00230846">
        <w:rPr>
          <w:lang w:val="en-GB"/>
        </w:rPr>
        <w:t xml:space="preserve"> of CO</w:t>
      </w:r>
      <w:r w:rsidRPr="00230846">
        <w:rPr>
          <w:rFonts w:ascii="Cambria Math" w:hAnsi="Cambria Math" w:cs="Cambria Math"/>
          <w:lang w:val="en-GB"/>
        </w:rPr>
        <w:t>₂</w:t>
      </w:r>
      <w:r w:rsidRPr="00230846">
        <w:rPr>
          <w:lang w:val="en-GB"/>
        </w:rPr>
        <w:t xml:space="preserve">. </w:t>
      </w:r>
    </w:p>
    <w:p w14:paraId="569D2C95" w14:textId="23C5FF4B" w:rsidR="00230846" w:rsidRPr="00895B9F" w:rsidRDefault="00230846" w:rsidP="00230846">
      <w:pPr>
        <w:pStyle w:val="CETBodytext"/>
        <w:spacing w:after="120"/>
        <w:rPr>
          <w:lang w:val="en-GB"/>
        </w:rPr>
      </w:pPr>
      <w:r w:rsidRPr="00230846">
        <w:rPr>
          <w:lang w:val="en-GB"/>
        </w:rPr>
        <w:t>Following the definition of the installation layout, future efforts will focus on the detailed engineering, construction, and on-site validation of the integrated connection between the CO</w:t>
      </w:r>
      <w:r w:rsidRPr="00230846">
        <w:rPr>
          <w:rFonts w:ascii="Cambria Math" w:hAnsi="Cambria Math" w:cs="Cambria Math"/>
          <w:lang w:val="en-GB"/>
        </w:rPr>
        <w:t>₂</w:t>
      </w:r>
      <w:r w:rsidRPr="00230846">
        <w:rPr>
          <w:lang w:val="en-GB"/>
        </w:rPr>
        <w:t xml:space="preserve"> capture and utilization stages. Simultaneously, a comprehensive process model will be developed to generate a digital twin of the system, enabling predictive control, automation, and optimization of plant operation.</w:t>
      </w:r>
    </w:p>
    <w:p w14:paraId="07C60353" w14:textId="460B95F5" w:rsidR="00230846" w:rsidRDefault="00230846" w:rsidP="00600535">
      <w:pPr>
        <w:pStyle w:val="CETHeading1"/>
        <w:rPr>
          <w:lang w:val="en-GB"/>
        </w:rPr>
      </w:pPr>
      <w:r>
        <w:rPr>
          <w:lang w:val="en-GB"/>
        </w:rPr>
        <w:t>Methodology</w:t>
      </w:r>
    </w:p>
    <w:p w14:paraId="50C585B6" w14:textId="387CF689" w:rsidR="00B434B1" w:rsidRDefault="00230846" w:rsidP="00230846">
      <w:pPr>
        <w:pStyle w:val="CETBodytext"/>
        <w:rPr>
          <w:lang w:val="en-GB"/>
        </w:rPr>
      </w:pPr>
      <w:r w:rsidRPr="00230846">
        <w:rPr>
          <w:lang w:val="en-GB"/>
        </w:rPr>
        <w:t>The experimental validation of the</w:t>
      </w:r>
      <w:r w:rsidR="0066324B">
        <w:rPr>
          <w:lang w:val="en-GB"/>
        </w:rPr>
        <w:t xml:space="preserve"> designed</w:t>
      </w:r>
      <w:r w:rsidRPr="00230846">
        <w:rPr>
          <w:lang w:val="en-GB"/>
        </w:rPr>
        <w:t xml:space="preserve"> CO</w:t>
      </w:r>
      <w:r w:rsidRPr="00230846">
        <w:rPr>
          <w:rFonts w:ascii="Cambria Math" w:hAnsi="Cambria Math" w:cs="Cambria Math"/>
          <w:lang w:val="en-GB"/>
        </w:rPr>
        <w:t>₂</w:t>
      </w:r>
      <w:r w:rsidRPr="00230846">
        <w:rPr>
          <w:lang w:val="en-GB"/>
        </w:rPr>
        <w:t xml:space="preserve"> capture and conversion prototypes is carried out in a laboratory-scale pilot plant. This approach allows for a thorough assessment of their operational performance </w:t>
      </w:r>
      <w:r>
        <w:rPr>
          <w:lang w:val="en-GB"/>
        </w:rPr>
        <w:t>before</w:t>
      </w:r>
      <w:r w:rsidRPr="00230846">
        <w:rPr>
          <w:lang w:val="en-GB"/>
        </w:rPr>
        <w:t xml:space="preserve"> the overall design and implementation of the integrated CO</w:t>
      </w:r>
      <w:r w:rsidRPr="00230846">
        <w:rPr>
          <w:rFonts w:ascii="Cambria Math" w:hAnsi="Cambria Math" w:cs="Cambria Math"/>
          <w:lang w:val="en-GB"/>
        </w:rPr>
        <w:t>₂</w:t>
      </w:r>
      <w:r w:rsidRPr="00230846">
        <w:rPr>
          <w:lang w:val="en-GB"/>
        </w:rPr>
        <w:t xml:space="preserve"> recycling facility.</w:t>
      </w:r>
    </w:p>
    <w:p w14:paraId="144577A5" w14:textId="0FECC68E" w:rsidR="00B434B1" w:rsidRPr="00B434B1" w:rsidRDefault="00B434B1" w:rsidP="00775E3B">
      <w:pPr>
        <w:pStyle w:val="CETheadingx"/>
      </w:pPr>
      <w:r w:rsidRPr="00B434B1">
        <w:t>Membrane-based CO</w:t>
      </w:r>
      <w:r w:rsidRPr="00B434B1">
        <w:rPr>
          <w:rFonts w:ascii="Cambria Math" w:hAnsi="Cambria Math" w:cs="Cambria Math"/>
        </w:rPr>
        <w:t>₂</w:t>
      </w:r>
      <w:r w:rsidRPr="00B434B1">
        <w:t xml:space="preserve"> capture pilot plant</w:t>
      </w:r>
    </w:p>
    <w:p w14:paraId="7020E43F" w14:textId="554065A2" w:rsidR="00B434B1" w:rsidRDefault="00B434B1" w:rsidP="00AE372A">
      <w:pPr>
        <w:pStyle w:val="CETBodytext"/>
        <w:spacing w:after="120"/>
      </w:pPr>
      <w:r>
        <w:t>The membrane</w:t>
      </w:r>
      <w:r>
        <w:rPr>
          <w:rFonts w:ascii="Cambria Math" w:hAnsi="Cambria Math" w:cs="Cambria Math"/>
        </w:rPr>
        <w:t>‑</w:t>
      </w:r>
      <w:r>
        <w:t>based CO</w:t>
      </w:r>
      <w:r>
        <w:rPr>
          <w:rFonts w:ascii="Cambria Math" w:hAnsi="Cambria Math" w:cs="Cambria Math"/>
        </w:rPr>
        <w:t>₂</w:t>
      </w:r>
      <w:r>
        <w:t xml:space="preserve"> capture pilot plant consists of two </w:t>
      </w:r>
      <w:proofErr w:type="gramStart"/>
      <w:r>
        <w:t>hollow</w:t>
      </w:r>
      <w:proofErr w:type="gramEnd"/>
      <w:r>
        <w:rPr>
          <w:rFonts w:ascii="Cambria Math" w:hAnsi="Cambria Math" w:cs="Cambria Math"/>
        </w:rPr>
        <w:t>‑</w:t>
      </w:r>
      <w:r>
        <w:t>fiber membrane</w:t>
      </w:r>
      <w:r w:rsidR="00351C61">
        <w:t xml:space="preserve"> modules made of</w:t>
      </w:r>
      <w:r w:rsidR="005B1029">
        <w:t xml:space="preserve"> </w:t>
      </w:r>
      <w:r w:rsidR="00351C61">
        <w:t>s</w:t>
      </w:r>
      <w:r w:rsidR="005B1029" w:rsidRPr="005B1029">
        <w:t>ilicone (polydimethylsiloxane, PDMS)</w:t>
      </w:r>
      <w:r w:rsidR="005B1029">
        <w:t>)</w:t>
      </w:r>
      <w:r>
        <w:t xml:space="preserve"> connected in parallel (</w:t>
      </w:r>
      <w:r w:rsidRPr="00B434B1">
        <w:t>PDMSXA-7500</w:t>
      </w:r>
      <w:r>
        <w:t xml:space="preserve">). The modules are operated under </w:t>
      </w:r>
      <w:r w:rsidR="006608C8">
        <w:t>high</w:t>
      </w:r>
      <w:r>
        <w:t xml:space="preserve"> feed pressure</w:t>
      </w:r>
      <w:r w:rsidR="005B1029">
        <w:t>, up to 3 bar,</w:t>
      </w:r>
      <w:r>
        <w:t xml:space="preserve"> to promote selective separation, producing a CO</w:t>
      </w:r>
      <w:r>
        <w:rPr>
          <w:rFonts w:ascii="Cambria Math" w:hAnsi="Cambria Math" w:cs="Cambria Math"/>
        </w:rPr>
        <w:t>₂‑</w:t>
      </w:r>
      <w:r>
        <w:t>enriched stream in the permeate, while N</w:t>
      </w:r>
      <w:r>
        <w:rPr>
          <w:rFonts w:ascii="Cambria Math" w:hAnsi="Cambria Math" w:cs="Cambria Math"/>
        </w:rPr>
        <w:t>₂</w:t>
      </w:r>
      <w:r>
        <w:t xml:space="preserve"> and O</w:t>
      </w:r>
      <w:r>
        <w:rPr>
          <w:rFonts w:ascii="Cambria Math" w:hAnsi="Cambria Math" w:cs="Cambria Math"/>
        </w:rPr>
        <w:t>₂</w:t>
      </w:r>
      <w:r>
        <w:t xml:space="preserve"> are predominantly retained and discharged in the retentate stream.</w:t>
      </w:r>
    </w:p>
    <w:p w14:paraId="5E1921A4" w14:textId="503CD61C" w:rsidR="00230846" w:rsidRDefault="00B434B1" w:rsidP="00B434B1">
      <w:pPr>
        <w:pStyle w:val="CETBodytext"/>
      </w:pPr>
      <w:r>
        <w:t>The installation is equipped with mass flow controllers to regulate the gas flow, as well as pressure sensors and control valves that allow precise adjustment of the feed pressure applied to the membrane modules, thereby enabling selective CO</w:t>
      </w:r>
      <w:r>
        <w:rPr>
          <w:rFonts w:ascii="Cambria Math" w:hAnsi="Cambria Math" w:cs="Cambria Math"/>
        </w:rPr>
        <w:t>₂</w:t>
      </w:r>
      <w:r>
        <w:t xml:space="preserve"> separation. In addition, a gas analyzer is installed to continuously monitor the CO</w:t>
      </w:r>
      <w:r>
        <w:rPr>
          <w:rFonts w:ascii="Cambria Math" w:hAnsi="Cambria Math" w:cs="Cambria Math"/>
        </w:rPr>
        <w:t>₂</w:t>
      </w:r>
      <w:r>
        <w:t xml:space="preserve"> concentration at both the inlet and outlet of the membrane modules.</w:t>
      </w:r>
    </w:p>
    <w:p w14:paraId="52467460" w14:textId="41688BA2" w:rsidR="006608C8" w:rsidRPr="00B434B1" w:rsidRDefault="006608C8" w:rsidP="006608C8">
      <w:pPr>
        <w:pStyle w:val="CETheadingx"/>
      </w:pPr>
      <w:r>
        <w:t>ERCO</w:t>
      </w:r>
      <w:r w:rsidRPr="006608C8">
        <w:rPr>
          <w:vertAlign w:val="subscript"/>
        </w:rPr>
        <w:t>2</w:t>
      </w:r>
      <w:r>
        <w:t xml:space="preserve"> to formate</w:t>
      </w:r>
      <w:r w:rsidRPr="00B434B1">
        <w:t xml:space="preserve"> pilot plant</w:t>
      </w:r>
    </w:p>
    <w:p w14:paraId="0C43A118" w14:textId="28407483" w:rsidR="006608C8" w:rsidRDefault="006608C8" w:rsidP="00AE372A">
      <w:pPr>
        <w:pStyle w:val="CETBodytext"/>
        <w:spacing w:after="120"/>
      </w:pPr>
      <w:r>
        <w:t xml:space="preserve">The 100 cm² electrolyzer is integrated into a </w:t>
      </w:r>
      <w:r w:rsidR="005B1029">
        <w:t>lab</w:t>
      </w:r>
      <w:r w:rsidR="00351C61">
        <w:t>oratory</w:t>
      </w:r>
      <w:r w:rsidR="005B1029">
        <w:t xml:space="preserve">-scale </w:t>
      </w:r>
      <w:r>
        <w:t xml:space="preserve">pilot plant </w:t>
      </w:r>
      <w:r w:rsidR="005B1029">
        <w:t xml:space="preserve">(Figure 1) </w:t>
      </w:r>
      <w:r>
        <w:t xml:space="preserve">designed to ensure efficient operation and enable automated data acquisition, which is </w:t>
      </w:r>
      <w:r w:rsidR="00FB3B37">
        <w:t>essential</w:t>
      </w:r>
      <w:r>
        <w:t xml:space="preserve"> for the development of a digital twin. The installation includes a CO</w:t>
      </w:r>
      <w:r>
        <w:rPr>
          <w:rFonts w:ascii="Cambria Math" w:hAnsi="Cambria Math" w:cs="Cambria Math"/>
        </w:rPr>
        <w:t>₂</w:t>
      </w:r>
      <w:r>
        <w:t xml:space="preserve"> (or feed</w:t>
      </w:r>
      <w:r>
        <w:rPr>
          <w:rFonts w:ascii="Cambria Math" w:hAnsi="Cambria Math" w:cs="Cambria Math"/>
        </w:rPr>
        <w:t>‑</w:t>
      </w:r>
      <w:r>
        <w:t>gas) mass flow controller, pumps and reservoirs for electrolyte circulation, a power supply capable of delivering currents of up to 20 A, and a gas analyzer for monitoring the composition of both the inlet and outlet streams of the electrolyzer. Additionally, the system is equipped with sensors for flow rate, conductivity, and temperature, all of which are connected to a centralized data acquisition platform that enables real</w:t>
      </w:r>
      <w:r>
        <w:rPr>
          <w:rFonts w:ascii="Cambria Math" w:hAnsi="Cambria Math" w:cs="Cambria Math"/>
        </w:rPr>
        <w:t>‑</w:t>
      </w:r>
      <w:r>
        <w:t>time monitoring and control of operating conditions.</w:t>
      </w:r>
    </w:p>
    <w:p w14:paraId="0C65697A" w14:textId="0C85AF14" w:rsidR="00B434B1" w:rsidRDefault="006608C8" w:rsidP="006608C8">
      <w:pPr>
        <w:pStyle w:val="CETBodytext"/>
      </w:pPr>
      <w:r>
        <w:t>The electrolyzer operates using a gas diffusion electrode (GDE) incorporating (</w:t>
      </w:r>
      <w:proofErr w:type="spellStart"/>
      <w:r>
        <w:t>BiO</w:t>
      </w:r>
      <w:proofErr w:type="spellEnd"/>
      <w:r>
        <w:t>)</w:t>
      </w:r>
      <w:r>
        <w:rPr>
          <w:rFonts w:ascii="Cambria Math" w:hAnsi="Cambria Math" w:cs="Cambria Math"/>
        </w:rPr>
        <w:t>₂</w:t>
      </w:r>
      <w:r>
        <w:t>CO</w:t>
      </w:r>
      <w:r>
        <w:rPr>
          <w:rFonts w:ascii="Cambria Math" w:hAnsi="Cambria Math" w:cs="Cambria Math"/>
        </w:rPr>
        <w:t>₃</w:t>
      </w:r>
      <w:r>
        <w:t xml:space="preserve"> as the catalyst, with a catalyst loading of 0.75 mg·cm</w:t>
      </w:r>
      <w:r>
        <w:rPr>
          <w:rFonts w:ascii="Cambria Math" w:hAnsi="Cambria Math" w:cs="Cambria Math"/>
        </w:rPr>
        <w:t>⁻</w:t>
      </w:r>
      <w:r>
        <w:rPr>
          <w:rFonts w:cs="Arial"/>
        </w:rPr>
        <w:t>²</w:t>
      </w:r>
      <w:r>
        <w:t xml:space="preserve">. The system is operated in liquid phase, employing a 1 M </w:t>
      </w:r>
      <w:proofErr w:type="spellStart"/>
      <w:r>
        <w:t>KCl</w:t>
      </w:r>
      <w:proofErr w:type="spellEnd"/>
      <w:r>
        <w:t xml:space="preserve"> solution as the catholyte and a 1.5 M KOH solution as the anolyte, with an </w:t>
      </w:r>
      <w:proofErr w:type="spellStart"/>
      <w:r>
        <w:t>IrO</w:t>
      </w:r>
      <w:proofErr w:type="spellEnd"/>
      <w:r>
        <w:rPr>
          <w:rFonts w:ascii="Cambria Math" w:hAnsi="Cambria Math" w:cs="Cambria Math"/>
        </w:rPr>
        <w:t>₂</w:t>
      </w:r>
      <w:r>
        <w:t xml:space="preserve"> plate serving as the anode. CO</w:t>
      </w:r>
      <w:r>
        <w:rPr>
          <w:rFonts w:ascii="Cambria Math" w:hAnsi="Cambria Math" w:cs="Cambria Math"/>
        </w:rPr>
        <w:t>₂</w:t>
      </w:r>
      <w:r>
        <w:t xml:space="preserve"> is supplied to the GDE in the gas phase at a flow rate of 2 L·min</w:t>
      </w:r>
      <w:r>
        <w:rPr>
          <w:rFonts w:ascii="Cambria Math" w:hAnsi="Cambria Math" w:cs="Cambria Math"/>
        </w:rPr>
        <w:t>⁻</w:t>
      </w:r>
      <w:r>
        <w:rPr>
          <w:rFonts w:cs="Arial"/>
        </w:rPr>
        <w:t>¹</w:t>
      </w:r>
      <w:r>
        <w:t>.</w:t>
      </w:r>
    </w:p>
    <w:p w14:paraId="7F9A3734" w14:textId="77777777" w:rsidR="006608C8" w:rsidRDefault="006608C8" w:rsidP="006608C8">
      <w:pPr>
        <w:pStyle w:val="CETBodytext"/>
      </w:pPr>
    </w:p>
    <w:p w14:paraId="00F556B9" w14:textId="44C371DC" w:rsidR="00B434B1" w:rsidRDefault="004570CC" w:rsidP="00230846">
      <w:pPr>
        <w:pStyle w:val="CETBodytext"/>
      </w:pPr>
      <w:r>
        <w:rPr>
          <w:noProof/>
        </w:rPr>
        <w:lastRenderedPageBreak/>
        <w:drawing>
          <wp:inline distT="0" distB="0" distL="0" distR="0" wp14:anchorId="18F3D9E5" wp14:editId="16CF12A5">
            <wp:extent cx="5659874" cy="241935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rotWithShape="1">
                    <a:blip r:embed="rId10"/>
                    <a:srcRect l="3755" t="15174" b="11693"/>
                    <a:stretch/>
                  </pic:blipFill>
                  <pic:spPr bwMode="auto">
                    <a:xfrm>
                      <a:off x="0" y="0"/>
                      <a:ext cx="5660876" cy="2419778"/>
                    </a:xfrm>
                    <a:prstGeom prst="rect">
                      <a:avLst/>
                    </a:prstGeom>
                    <a:ln>
                      <a:noFill/>
                    </a:ln>
                    <a:extLst>
                      <a:ext uri="{53640926-AAD7-44D8-BBD7-CCE9431645EC}">
                        <a14:shadowObscured xmlns:a14="http://schemas.microsoft.com/office/drawing/2010/main"/>
                      </a:ext>
                    </a:extLst>
                  </pic:spPr>
                </pic:pic>
              </a:graphicData>
            </a:graphic>
          </wp:inline>
        </w:drawing>
      </w:r>
    </w:p>
    <w:p w14:paraId="04C8E412" w14:textId="61615D56" w:rsidR="00B434B1" w:rsidRPr="000A3E46" w:rsidRDefault="000A3E46" w:rsidP="000A3E46">
      <w:pPr>
        <w:pStyle w:val="CETCaption"/>
      </w:pPr>
      <w:r w:rsidRPr="00BD077D">
        <w:rPr>
          <w:rStyle w:val="CETCaptionCarattere"/>
          <w:i/>
        </w:rPr>
        <w:t xml:space="preserve">Figure 1: </w:t>
      </w:r>
      <w:r>
        <w:rPr>
          <w:rStyle w:val="CETCaptionCarattere"/>
          <w:i/>
        </w:rPr>
        <w:t>Diagram showing the layout of a)</w:t>
      </w:r>
      <w:r>
        <w:t xml:space="preserve"> </w:t>
      </w:r>
      <w:r w:rsidR="00351C61">
        <w:t>m</w:t>
      </w:r>
      <w:r w:rsidRPr="000A3E46">
        <w:t>embrane-based CO</w:t>
      </w:r>
      <w:r w:rsidRPr="000A3E46">
        <w:rPr>
          <w:rFonts w:ascii="Cambria Math" w:hAnsi="Cambria Math" w:cs="Cambria Math"/>
        </w:rPr>
        <w:t>₂</w:t>
      </w:r>
      <w:r w:rsidRPr="000A3E46">
        <w:t xml:space="preserve"> capture pilot plant</w:t>
      </w:r>
      <w:r>
        <w:t xml:space="preserve"> and</w:t>
      </w:r>
      <w:r w:rsidR="00351C61">
        <w:t xml:space="preserve"> b) the</w:t>
      </w:r>
      <w:r>
        <w:t xml:space="preserve"> </w:t>
      </w:r>
      <w:r w:rsidRPr="000A3E46">
        <w:t>ERCO</w:t>
      </w:r>
      <w:r w:rsidRPr="000A3E46">
        <w:rPr>
          <w:vertAlign w:val="subscript"/>
        </w:rPr>
        <w:t>2</w:t>
      </w:r>
      <w:r w:rsidRPr="000A3E46">
        <w:t xml:space="preserve"> to formate pilot plant</w:t>
      </w:r>
      <w:r w:rsidR="00351C61">
        <w:t>.</w:t>
      </w:r>
    </w:p>
    <w:p w14:paraId="658974F2" w14:textId="57209EB8" w:rsidR="0027321A" w:rsidRDefault="00D879C6" w:rsidP="0027321A">
      <w:pPr>
        <w:pStyle w:val="CETheadingx"/>
      </w:pPr>
      <w:r>
        <w:t>Digital twin development</w:t>
      </w:r>
    </w:p>
    <w:p w14:paraId="5C508502" w14:textId="51125DC5" w:rsidR="00D879C6" w:rsidRDefault="00920FA7" w:rsidP="00920FA7">
      <w:pPr>
        <w:pStyle w:val="CETBodytext"/>
      </w:pPr>
      <w:r>
        <w:t xml:space="preserve">Thanks to the continuous data acquisition enabled by the installation of a PLC and multiple sensors </w:t>
      </w:r>
      <w:r w:rsidR="00351C61">
        <w:t>in</w:t>
      </w:r>
      <w:r>
        <w:t xml:space="preserve"> the pilot plants, it becomes possible to train mathematical models integrated into a digital twin. These models will facilitate the prediction of the behavior of the integrated recycling system </w:t>
      </w:r>
      <w:r w:rsidR="00957691">
        <w:t>before</w:t>
      </w:r>
      <w:r>
        <w:t xml:space="preserve"> its commissioning in an industrial environment.</w:t>
      </w:r>
      <w:r w:rsidR="00AE372A">
        <w:t xml:space="preserve"> </w:t>
      </w:r>
      <w:r>
        <w:t xml:space="preserve">For this purpose, a set of input and output variables </w:t>
      </w:r>
      <w:r w:rsidR="00D549E2">
        <w:t>are recorded</w:t>
      </w:r>
      <w:r>
        <w:t xml:space="preserve"> for each subsystem, along with performance prediction variables that describe the overall efficiency of the recycling system.</w:t>
      </w:r>
    </w:p>
    <w:p w14:paraId="595246B9" w14:textId="4E5072B2" w:rsidR="00957691" w:rsidRDefault="00D22D04" w:rsidP="00D22D04">
      <w:pPr>
        <w:pStyle w:val="CETCaption"/>
        <w:spacing w:before="120" w:after="0"/>
      </w:pPr>
      <w:r>
        <w:rPr>
          <w:rStyle w:val="CETCaptionCarattere"/>
          <w:i/>
          <w:lang w:val="en-US"/>
        </w:rPr>
        <w:t>Table</w:t>
      </w:r>
      <w:r w:rsidRPr="00BD077D">
        <w:rPr>
          <w:rStyle w:val="CETCaptionCarattere"/>
          <w:i/>
        </w:rPr>
        <w:t xml:space="preserve"> 1: </w:t>
      </w:r>
      <w:r w:rsidR="003C75EE" w:rsidRPr="003C75EE">
        <w:rPr>
          <w:rStyle w:val="CETCaptionCarattere"/>
          <w:i/>
        </w:rPr>
        <w:t>Classification of operational variables (input/output) and predicted performance parameters for the membrane-based</w:t>
      </w:r>
      <w:r w:rsidR="00B410E7">
        <w:rPr>
          <w:rStyle w:val="CETCaptionCarattere"/>
          <w:i/>
        </w:rPr>
        <w:t xml:space="preserve"> CO</w:t>
      </w:r>
      <w:r w:rsidR="00B410E7" w:rsidRPr="00B410E7">
        <w:rPr>
          <w:rStyle w:val="CETCaptionCarattere"/>
          <w:i/>
          <w:vertAlign w:val="subscript"/>
        </w:rPr>
        <w:t>2</w:t>
      </w:r>
      <w:r w:rsidR="003C75EE" w:rsidRPr="003C75EE">
        <w:rPr>
          <w:rStyle w:val="CETCaptionCarattere"/>
          <w:i/>
        </w:rPr>
        <w:t xml:space="preserve"> capture digital twin</w:t>
      </w:r>
      <w:r w:rsidR="000735EF">
        <w:rPr>
          <w:rStyle w:val="CETCaptionCarattere"/>
          <w:i/>
        </w:rPr>
        <w:t>.</w:t>
      </w:r>
    </w:p>
    <w:tbl>
      <w:tblPr>
        <w:tblStyle w:val="Tablaconcuadrcula"/>
        <w:tblW w:w="0" w:type="auto"/>
        <w:jc w:val="center"/>
        <w:tblLook w:val="04A0" w:firstRow="1" w:lastRow="0" w:firstColumn="1" w:lastColumn="0" w:noHBand="0" w:noVBand="1"/>
      </w:tblPr>
      <w:tblGrid>
        <w:gridCol w:w="1874"/>
        <w:gridCol w:w="1827"/>
        <w:gridCol w:w="2390"/>
        <w:gridCol w:w="2686"/>
      </w:tblGrid>
      <w:tr w:rsidR="0072148B" w:rsidRPr="0072148B" w14:paraId="624F3DD8" w14:textId="77777777" w:rsidTr="0067073C">
        <w:trPr>
          <w:trHeight w:val="200"/>
          <w:jc w:val="center"/>
        </w:trPr>
        <w:tc>
          <w:tcPr>
            <w:tcW w:w="8777" w:type="dxa"/>
            <w:gridSpan w:val="4"/>
            <w:shd w:val="clear" w:color="auto" w:fill="C4BC96" w:themeFill="background2" w:themeFillShade="BF"/>
            <w:hideMark/>
          </w:tcPr>
          <w:p w14:paraId="7F43ACF5" w14:textId="77777777" w:rsidR="0072148B" w:rsidRPr="0067073C" w:rsidRDefault="0072148B" w:rsidP="0072148B">
            <w:pPr>
              <w:pStyle w:val="CETBodytext"/>
              <w:spacing w:line="240" w:lineRule="auto"/>
              <w:jc w:val="center"/>
              <w:rPr>
                <w:b/>
                <w:bCs/>
                <w:lang w:val="es-ES"/>
              </w:rPr>
            </w:pPr>
            <w:r w:rsidRPr="0067073C">
              <w:rPr>
                <w:b/>
                <w:bCs/>
                <w:sz w:val="16"/>
                <w:szCs w:val="18"/>
                <w:lang w:val="es-ES"/>
              </w:rPr>
              <w:t>Membrane CO</w:t>
            </w:r>
            <w:r w:rsidRPr="0067073C">
              <w:rPr>
                <w:b/>
                <w:bCs/>
                <w:sz w:val="16"/>
                <w:szCs w:val="18"/>
                <w:vertAlign w:val="subscript"/>
                <w:lang w:val="es-ES"/>
              </w:rPr>
              <w:t>2</w:t>
            </w:r>
            <w:r w:rsidRPr="0067073C">
              <w:rPr>
                <w:b/>
                <w:bCs/>
                <w:sz w:val="16"/>
                <w:szCs w:val="18"/>
                <w:lang w:val="es-ES"/>
              </w:rPr>
              <w:t xml:space="preserve"> Capture</w:t>
            </w:r>
          </w:p>
        </w:tc>
      </w:tr>
      <w:tr w:rsidR="0072148B" w:rsidRPr="0072148B" w14:paraId="6A3B3691" w14:textId="77777777" w:rsidTr="0067073C">
        <w:trPr>
          <w:trHeight w:val="300"/>
          <w:jc w:val="center"/>
        </w:trPr>
        <w:tc>
          <w:tcPr>
            <w:tcW w:w="1874" w:type="dxa"/>
            <w:vMerge w:val="restart"/>
            <w:shd w:val="clear" w:color="auto" w:fill="EEECE1" w:themeFill="background2"/>
            <w:vAlign w:val="center"/>
            <w:hideMark/>
          </w:tcPr>
          <w:p w14:paraId="150477A4" w14:textId="77777777" w:rsidR="0072148B" w:rsidRPr="0067073C" w:rsidRDefault="0072148B" w:rsidP="0067073C">
            <w:pPr>
              <w:pStyle w:val="CETBodytext"/>
              <w:spacing w:line="240" w:lineRule="auto"/>
              <w:jc w:val="center"/>
              <w:rPr>
                <w:sz w:val="16"/>
                <w:szCs w:val="18"/>
                <w:lang w:val="es-ES"/>
              </w:rPr>
            </w:pPr>
            <w:r w:rsidRPr="0067073C">
              <w:rPr>
                <w:sz w:val="16"/>
                <w:szCs w:val="18"/>
                <w:lang w:val="es-ES"/>
              </w:rPr>
              <w:t>Input Variable</w:t>
            </w:r>
          </w:p>
        </w:tc>
        <w:tc>
          <w:tcPr>
            <w:tcW w:w="1827" w:type="dxa"/>
            <w:vMerge w:val="restart"/>
            <w:shd w:val="clear" w:color="auto" w:fill="EEECE1" w:themeFill="background2"/>
            <w:vAlign w:val="center"/>
            <w:hideMark/>
          </w:tcPr>
          <w:p w14:paraId="676E7ED4" w14:textId="77777777" w:rsidR="0072148B" w:rsidRPr="0067073C" w:rsidRDefault="0072148B" w:rsidP="0067073C">
            <w:pPr>
              <w:pStyle w:val="CETBodytext"/>
              <w:spacing w:line="240" w:lineRule="auto"/>
              <w:jc w:val="center"/>
              <w:rPr>
                <w:sz w:val="16"/>
                <w:szCs w:val="18"/>
                <w:lang w:val="es-ES"/>
              </w:rPr>
            </w:pPr>
            <w:r w:rsidRPr="0067073C">
              <w:rPr>
                <w:sz w:val="16"/>
                <w:szCs w:val="18"/>
                <w:lang w:val="es-ES"/>
              </w:rPr>
              <w:t>Output Variable</w:t>
            </w:r>
          </w:p>
        </w:tc>
        <w:tc>
          <w:tcPr>
            <w:tcW w:w="5076" w:type="dxa"/>
            <w:gridSpan w:val="2"/>
            <w:shd w:val="clear" w:color="auto" w:fill="EEECE1" w:themeFill="background2"/>
            <w:hideMark/>
          </w:tcPr>
          <w:p w14:paraId="15048A52" w14:textId="12A03860" w:rsidR="0072148B" w:rsidRPr="0067073C" w:rsidRDefault="0072148B" w:rsidP="0072148B">
            <w:pPr>
              <w:pStyle w:val="CETBodytext"/>
              <w:spacing w:line="240" w:lineRule="auto"/>
              <w:jc w:val="center"/>
              <w:rPr>
                <w:sz w:val="16"/>
                <w:szCs w:val="18"/>
                <w:lang w:val="es-ES"/>
              </w:rPr>
            </w:pPr>
            <w:proofErr w:type="spellStart"/>
            <w:r w:rsidRPr="0067073C">
              <w:rPr>
                <w:sz w:val="16"/>
                <w:szCs w:val="18"/>
                <w:lang w:val="es-ES"/>
              </w:rPr>
              <w:t>Predicted</w:t>
            </w:r>
            <w:proofErr w:type="spellEnd"/>
            <w:r w:rsidRPr="0067073C">
              <w:rPr>
                <w:sz w:val="16"/>
                <w:szCs w:val="18"/>
                <w:lang w:val="es-ES"/>
              </w:rPr>
              <w:t xml:space="preserve"> </w:t>
            </w:r>
            <w:r w:rsidR="005B1029">
              <w:rPr>
                <w:sz w:val="16"/>
                <w:szCs w:val="18"/>
                <w:lang w:val="es-ES"/>
              </w:rPr>
              <w:t>V</w:t>
            </w:r>
            <w:r w:rsidRPr="0067073C">
              <w:rPr>
                <w:sz w:val="16"/>
                <w:szCs w:val="18"/>
                <w:lang w:val="es-ES"/>
              </w:rPr>
              <w:t>ariable</w:t>
            </w:r>
          </w:p>
        </w:tc>
      </w:tr>
      <w:tr w:rsidR="0072148B" w:rsidRPr="0072148B" w14:paraId="19811EDD" w14:textId="77777777" w:rsidTr="0067073C">
        <w:trPr>
          <w:trHeight w:val="70"/>
          <w:jc w:val="center"/>
        </w:trPr>
        <w:tc>
          <w:tcPr>
            <w:tcW w:w="1874" w:type="dxa"/>
            <w:vMerge/>
            <w:shd w:val="clear" w:color="auto" w:fill="EEECE1" w:themeFill="background2"/>
            <w:hideMark/>
          </w:tcPr>
          <w:p w14:paraId="7CA93D27" w14:textId="77777777" w:rsidR="0072148B" w:rsidRPr="0067073C" w:rsidRDefault="0072148B" w:rsidP="0072148B">
            <w:pPr>
              <w:pStyle w:val="CETBodytext"/>
              <w:spacing w:line="240" w:lineRule="auto"/>
              <w:rPr>
                <w:sz w:val="16"/>
                <w:szCs w:val="18"/>
                <w:lang w:val="es-ES"/>
              </w:rPr>
            </w:pPr>
          </w:p>
        </w:tc>
        <w:tc>
          <w:tcPr>
            <w:tcW w:w="1827" w:type="dxa"/>
            <w:vMerge/>
            <w:shd w:val="clear" w:color="auto" w:fill="EEECE1" w:themeFill="background2"/>
            <w:hideMark/>
          </w:tcPr>
          <w:p w14:paraId="039BF144" w14:textId="77777777" w:rsidR="0072148B" w:rsidRPr="0067073C" w:rsidRDefault="0072148B" w:rsidP="0072148B">
            <w:pPr>
              <w:pStyle w:val="CETBodytext"/>
              <w:spacing w:line="240" w:lineRule="auto"/>
              <w:rPr>
                <w:sz w:val="16"/>
                <w:szCs w:val="18"/>
                <w:lang w:val="es-ES"/>
              </w:rPr>
            </w:pPr>
          </w:p>
        </w:tc>
        <w:tc>
          <w:tcPr>
            <w:tcW w:w="2390" w:type="dxa"/>
            <w:shd w:val="clear" w:color="auto" w:fill="EEECE1" w:themeFill="background2"/>
            <w:hideMark/>
          </w:tcPr>
          <w:p w14:paraId="108366FE" w14:textId="77777777" w:rsidR="0072148B" w:rsidRPr="0067073C" w:rsidRDefault="0072148B" w:rsidP="0072148B">
            <w:pPr>
              <w:pStyle w:val="CETBodytext"/>
              <w:spacing w:line="240" w:lineRule="auto"/>
              <w:jc w:val="center"/>
              <w:rPr>
                <w:sz w:val="16"/>
                <w:szCs w:val="18"/>
                <w:lang w:val="es-ES"/>
              </w:rPr>
            </w:pPr>
            <w:r w:rsidRPr="0067073C">
              <w:rPr>
                <w:sz w:val="16"/>
                <w:szCs w:val="18"/>
                <w:lang w:val="es-ES"/>
              </w:rPr>
              <w:t>Variable</w:t>
            </w:r>
          </w:p>
        </w:tc>
        <w:tc>
          <w:tcPr>
            <w:tcW w:w="2686" w:type="dxa"/>
            <w:shd w:val="clear" w:color="auto" w:fill="EEECE1" w:themeFill="background2"/>
            <w:hideMark/>
          </w:tcPr>
          <w:p w14:paraId="1C12D4F9" w14:textId="77777777" w:rsidR="0072148B" w:rsidRPr="0067073C" w:rsidRDefault="0072148B" w:rsidP="0072148B">
            <w:pPr>
              <w:pStyle w:val="CETBodytext"/>
              <w:spacing w:line="240" w:lineRule="auto"/>
              <w:jc w:val="center"/>
              <w:rPr>
                <w:sz w:val="16"/>
                <w:szCs w:val="18"/>
                <w:lang w:val="es-ES"/>
              </w:rPr>
            </w:pPr>
            <w:proofErr w:type="spellStart"/>
            <w:r w:rsidRPr="0067073C">
              <w:rPr>
                <w:sz w:val="16"/>
                <w:szCs w:val="18"/>
                <w:lang w:val="es-ES"/>
              </w:rPr>
              <w:t>Equation</w:t>
            </w:r>
            <w:proofErr w:type="spellEnd"/>
          </w:p>
        </w:tc>
      </w:tr>
      <w:tr w:rsidR="0072148B" w:rsidRPr="0072148B" w14:paraId="5951CAA3" w14:textId="77777777" w:rsidTr="00A77F4E">
        <w:tblPrEx>
          <w:tblCellMar>
            <w:left w:w="70" w:type="dxa"/>
            <w:right w:w="70" w:type="dxa"/>
          </w:tblCellMar>
        </w:tblPrEx>
        <w:trPr>
          <w:trHeight w:val="541"/>
          <w:jc w:val="center"/>
        </w:trPr>
        <w:tc>
          <w:tcPr>
            <w:tcW w:w="1874" w:type="dxa"/>
            <w:hideMark/>
          </w:tcPr>
          <w:p w14:paraId="0989C5ED" w14:textId="77777777" w:rsidR="0072148B" w:rsidRPr="001F07EF" w:rsidRDefault="0072148B" w:rsidP="0072148B">
            <w:pPr>
              <w:pStyle w:val="CETBodytext"/>
              <w:spacing w:line="240" w:lineRule="auto"/>
              <w:jc w:val="left"/>
              <w:rPr>
                <w:sz w:val="16"/>
                <w:szCs w:val="18"/>
                <w:lang w:val="es-ES"/>
              </w:rPr>
            </w:pPr>
            <w:r w:rsidRPr="001F07EF">
              <w:rPr>
                <w:sz w:val="16"/>
                <w:szCs w:val="18"/>
                <w:lang w:val="es-ES"/>
              </w:rPr>
              <w:t>CO</w:t>
            </w:r>
            <w:r w:rsidRPr="001F07EF">
              <w:rPr>
                <w:sz w:val="16"/>
                <w:szCs w:val="18"/>
                <w:vertAlign w:val="subscript"/>
                <w:lang w:val="es-ES"/>
              </w:rPr>
              <w:t>2</w:t>
            </w:r>
            <w:r w:rsidRPr="001F07EF">
              <w:rPr>
                <w:sz w:val="16"/>
                <w:szCs w:val="18"/>
                <w:lang w:val="es-ES"/>
              </w:rPr>
              <w:t xml:space="preserve"> </w:t>
            </w:r>
            <w:proofErr w:type="spellStart"/>
            <w:r w:rsidRPr="001F07EF">
              <w:rPr>
                <w:sz w:val="16"/>
                <w:szCs w:val="18"/>
                <w:lang w:val="es-ES"/>
              </w:rPr>
              <w:t>inlet</w:t>
            </w:r>
            <w:proofErr w:type="spellEnd"/>
            <w:r w:rsidRPr="001F07EF">
              <w:rPr>
                <w:sz w:val="16"/>
                <w:szCs w:val="18"/>
                <w:lang w:val="es-ES"/>
              </w:rPr>
              <w:t xml:space="preserve"> concentration, C</w:t>
            </w:r>
            <w:r w:rsidRPr="001F07EF">
              <w:rPr>
                <w:sz w:val="16"/>
                <w:szCs w:val="18"/>
                <w:vertAlign w:val="subscript"/>
                <w:lang w:val="es-ES"/>
              </w:rPr>
              <w:t>IN</w:t>
            </w:r>
            <w:r w:rsidRPr="001F07EF">
              <w:rPr>
                <w:sz w:val="16"/>
                <w:szCs w:val="18"/>
                <w:lang w:val="es-ES"/>
              </w:rPr>
              <w:t xml:space="preserve"> (%)</w:t>
            </w:r>
          </w:p>
        </w:tc>
        <w:tc>
          <w:tcPr>
            <w:tcW w:w="1827" w:type="dxa"/>
            <w:hideMark/>
          </w:tcPr>
          <w:p w14:paraId="057ACD13" w14:textId="77777777" w:rsidR="0072148B" w:rsidRPr="001F07EF" w:rsidRDefault="0072148B" w:rsidP="0072148B">
            <w:pPr>
              <w:pStyle w:val="CETBodytext"/>
              <w:spacing w:line="240" w:lineRule="auto"/>
              <w:jc w:val="left"/>
              <w:rPr>
                <w:sz w:val="16"/>
                <w:szCs w:val="18"/>
              </w:rPr>
            </w:pPr>
            <w:r w:rsidRPr="001F07EF">
              <w:rPr>
                <w:sz w:val="16"/>
                <w:szCs w:val="18"/>
              </w:rPr>
              <w:t>CO</w:t>
            </w:r>
            <w:r w:rsidRPr="001F07EF">
              <w:rPr>
                <w:sz w:val="16"/>
                <w:szCs w:val="18"/>
                <w:vertAlign w:val="subscript"/>
              </w:rPr>
              <w:t>2</w:t>
            </w:r>
            <w:r w:rsidRPr="001F07EF">
              <w:rPr>
                <w:sz w:val="16"/>
                <w:szCs w:val="18"/>
              </w:rPr>
              <w:t xml:space="preserve"> concentration in the retentate, C</w:t>
            </w:r>
            <w:r w:rsidRPr="001F07EF">
              <w:rPr>
                <w:sz w:val="16"/>
                <w:szCs w:val="18"/>
                <w:vertAlign w:val="subscript"/>
              </w:rPr>
              <w:t>R</w:t>
            </w:r>
            <w:r w:rsidRPr="001F07EF">
              <w:rPr>
                <w:sz w:val="16"/>
                <w:szCs w:val="18"/>
              </w:rPr>
              <w:t xml:space="preserve"> (%)</w:t>
            </w:r>
          </w:p>
        </w:tc>
        <w:tc>
          <w:tcPr>
            <w:tcW w:w="2390" w:type="dxa"/>
            <w:hideMark/>
          </w:tcPr>
          <w:p w14:paraId="5319F950" w14:textId="77777777" w:rsidR="0072148B" w:rsidRPr="001F07EF" w:rsidRDefault="0072148B" w:rsidP="0072148B">
            <w:pPr>
              <w:pStyle w:val="CETBodytext"/>
              <w:spacing w:line="240" w:lineRule="auto"/>
              <w:jc w:val="left"/>
              <w:rPr>
                <w:sz w:val="16"/>
                <w:szCs w:val="18"/>
                <w:lang w:val="es-ES"/>
              </w:rPr>
            </w:pPr>
            <w:proofErr w:type="spellStart"/>
            <w:r w:rsidRPr="001F07EF">
              <w:rPr>
                <w:sz w:val="16"/>
                <w:szCs w:val="18"/>
                <w:lang w:val="es-ES"/>
              </w:rPr>
              <w:t>Permeance</w:t>
            </w:r>
            <w:proofErr w:type="spellEnd"/>
            <w:r w:rsidRPr="001F07EF">
              <w:rPr>
                <w:sz w:val="16"/>
                <w:szCs w:val="18"/>
                <w:lang w:val="es-ES"/>
              </w:rPr>
              <w:t xml:space="preserve"> (GPU)</w:t>
            </w:r>
          </w:p>
        </w:tc>
        <w:tc>
          <w:tcPr>
            <w:tcW w:w="2686" w:type="dxa"/>
            <w:hideMark/>
          </w:tcPr>
          <w:p w14:paraId="267E60BC" w14:textId="3F63ADF4" w:rsidR="0072148B" w:rsidRPr="0072148B" w:rsidRDefault="00A77F4E" w:rsidP="0072148B">
            <w:pPr>
              <w:pStyle w:val="CETBodytext"/>
              <w:spacing w:line="240" w:lineRule="auto"/>
              <w:rPr>
                <w:lang w:val="es-ES"/>
              </w:rPr>
            </w:pPr>
            <w:r>
              <w:rPr>
                <w:noProof/>
              </w:rPr>
              <mc:AlternateContent>
                <mc:Choice Requires="wps">
                  <w:drawing>
                    <wp:anchor distT="0" distB="0" distL="114300" distR="114300" simplePos="0" relativeHeight="251668480" behindDoc="0" locked="0" layoutInCell="1" allowOverlap="1" wp14:anchorId="2993E8BF" wp14:editId="31593282">
                      <wp:simplePos x="0" y="0"/>
                      <wp:positionH relativeFrom="column">
                        <wp:posOffset>183515</wp:posOffset>
                      </wp:positionH>
                      <wp:positionV relativeFrom="paragraph">
                        <wp:posOffset>20955</wp:posOffset>
                      </wp:positionV>
                      <wp:extent cx="1505925" cy="370614"/>
                      <wp:effectExtent l="0" t="0" r="0" b="0"/>
                      <wp:wrapNone/>
                      <wp:docPr id="98174119" name="CuadroTexto 1"/>
                      <wp:cNvGraphicFramePr/>
                      <a:graphic xmlns:a="http://schemas.openxmlformats.org/drawingml/2006/main">
                        <a:graphicData uri="http://schemas.microsoft.com/office/word/2010/wordprocessingShape">
                          <wps:wsp>
                            <wps:cNvSpPr txBox="1"/>
                            <wps:spPr>
                              <a:xfrm>
                                <a:off x="0" y="0"/>
                                <a:ext cx="1505925" cy="370614"/>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5E959FF" w14:textId="77777777" w:rsidR="00A77F4E" w:rsidRPr="00A77F4E" w:rsidRDefault="00A77F4E" w:rsidP="00A77F4E">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P</m:t>
                                              </m:r>
                                            </m:e>
                                            <m:sub>
                                              <m:r>
                                                <w:rPr>
                                                  <w:rFonts w:ascii="Cambria Math" w:eastAsia="Cambria Math" w:hAnsi="Cambria Math" w:cstheme="minorBidi"/>
                                                  <w:color w:val="000000" w:themeColor="text1"/>
                                                  <w:sz w:val="18"/>
                                                  <w:szCs w:val="18"/>
                                                </w:rPr>
                                                <m:t>Q</m:t>
                                              </m:r>
                                            </m:sub>
                                          </m:sSub>
                                          <m:r>
                                            <w:rPr>
                                              <w:rFonts w:ascii="Cambria Math" w:eastAsia="Cambria Math" w:hAnsi="Cambria Math" w:cstheme="minorBidi"/>
                                              <w:color w:val="000000" w:themeColor="text1"/>
                                              <w:sz w:val="18"/>
                                              <w:szCs w:val="18"/>
                                            </w:rPr>
                                            <m:t> ∙ </m:t>
                                          </m:r>
                                          <m:sSup>
                                            <m:sSupPr>
                                              <m:ctrlPr>
                                                <w:rPr>
                                                  <w:rFonts w:ascii="Cambria Math" w:eastAsia="Cambria Math" w:hAnsi="Cambria Math" w:cstheme="minorBidi"/>
                                                  <w:i/>
                                                  <w:iCs/>
                                                  <w:color w:val="000000" w:themeColor="text1"/>
                                                  <w:sz w:val="18"/>
                                                  <w:szCs w:val="18"/>
                                                </w:rPr>
                                              </m:ctrlPr>
                                            </m:sSupPr>
                                            <m:e>
                                              <m:r>
                                                <w:rPr>
                                                  <w:rFonts w:ascii="Cambria Math" w:eastAsia="Cambria Math" w:hAnsi="Cambria Math" w:cstheme="minorBidi"/>
                                                  <w:color w:val="000000" w:themeColor="text1"/>
                                                  <w:sz w:val="18"/>
                                                  <w:szCs w:val="18"/>
                                                </w:rPr>
                                                <m:t>10</m:t>
                                              </m:r>
                                            </m:e>
                                            <m:sup>
                                              <m:r>
                                                <w:rPr>
                                                  <w:rFonts w:ascii="Cambria Math" w:eastAsia="Cambria Math" w:hAnsi="Cambria Math" w:cstheme="minorBidi"/>
                                                  <w:color w:val="000000" w:themeColor="text1"/>
                                                  <w:sz w:val="18"/>
                                                  <w:szCs w:val="18"/>
                                                </w:rPr>
                                                <m:t>6</m:t>
                                              </m:r>
                                            </m:sup>
                                          </m:sSup>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CO</m:t>
                                              </m:r>
                                            </m:e>
                                            <m:sub>
                                              <m:r>
                                                <w:rPr>
                                                  <w:rFonts w:ascii="Cambria Math" w:eastAsia="Cambria Math" w:hAnsi="Cambria Math" w:cstheme="minorBidi"/>
                                                  <w:color w:val="000000" w:themeColor="text1"/>
                                                  <w:sz w:val="18"/>
                                                  <w:szCs w:val="18"/>
                                                </w:rPr>
                                                <m:t>2 </m:t>
                                              </m:r>
                                            </m:sub>
                                          </m:sSub>
                                          <m:r>
                                            <w:rPr>
                                              <w:rFonts w:ascii="Cambria Math" w:eastAsia="Cambria Math" w:hAnsi="Cambria Math" w:cstheme="minorBidi"/>
                                              <w:color w:val="000000" w:themeColor="text1"/>
                                              <w:sz w:val="18"/>
                                              <w:szCs w:val="18"/>
                                            </w:rPr>
                                            <m:t>Partial Pressure</m:t>
                                          </m:r>
                                        </m:den>
                                      </m:f>
                                    </m:oMath>
                                  </m:oMathPara>
                                </w:p>
                              </w:txbxContent>
                            </wps:txbx>
                            <wps:bodyPr vertOverflow="clip" horzOverflow="clip" wrap="none" lIns="0" tIns="0" rIns="0" bIns="0" rtlCol="0" anchor="t">
                              <a:spAutoFit/>
                            </wps:bodyPr>
                          </wps:wsp>
                        </a:graphicData>
                      </a:graphic>
                    </wp:anchor>
                  </w:drawing>
                </mc:Choice>
                <mc:Fallback>
                  <w:pict>
                    <v:shapetype w14:anchorId="2993E8BF" id="_x0000_t202" coordsize="21600,21600" o:spt="202" path="m,l,21600r21600,l21600,xe">
                      <v:stroke joinstyle="miter"/>
                      <v:path gradientshapeok="t" o:connecttype="rect"/>
                    </v:shapetype>
                    <v:shape id="CuadroTexto 1" o:spid="_x0000_s1026" type="#_x0000_t202" style="position:absolute;left:0;text-align:left;margin-left:14.45pt;margin-top:1.65pt;width:118.6pt;height:29.2pt;z-index:2516684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" filled="f" stroked="f">
                      <v:textbox style="mso-fit-shape-to-text:t" inset="0,0,0,0">
                        <w:txbxContent>
                          <w:p w14:paraId="35E959FF" w14:textId="77777777" w:rsidR="00A77F4E" w:rsidRPr="00A77F4E" w:rsidRDefault="00A77F4E" w:rsidP="00A77F4E">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P</m:t>
                                        </m:r>
                                      </m:e>
                                      <m:sub>
                                        <m:r>
                                          <w:rPr>
                                            <w:rFonts w:ascii="Cambria Math" w:eastAsia="Cambria Math" w:hAnsi="Cambria Math" w:cstheme="minorBidi"/>
                                            <w:color w:val="000000" w:themeColor="text1"/>
                                            <w:sz w:val="18"/>
                                            <w:szCs w:val="18"/>
                                          </w:rPr>
                                          <m:t>Q</m:t>
                                        </m:r>
                                      </m:sub>
                                    </m:sSub>
                                    <m:r>
                                      <w:rPr>
                                        <w:rFonts w:ascii="Cambria Math" w:eastAsia="Cambria Math" w:hAnsi="Cambria Math" w:cstheme="minorBidi"/>
                                        <w:color w:val="000000" w:themeColor="text1"/>
                                        <w:sz w:val="18"/>
                                        <w:szCs w:val="18"/>
                                      </w:rPr>
                                      <m:t> ∙ </m:t>
                                    </m:r>
                                    <m:sSup>
                                      <m:sSupPr>
                                        <m:ctrlPr>
                                          <w:rPr>
                                            <w:rFonts w:ascii="Cambria Math" w:eastAsia="Cambria Math" w:hAnsi="Cambria Math" w:cstheme="minorBidi"/>
                                            <w:i/>
                                            <w:iCs/>
                                            <w:color w:val="000000" w:themeColor="text1"/>
                                            <w:sz w:val="18"/>
                                            <w:szCs w:val="18"/>
                                          </w:rPr>
                                        </m:ctrlPr>
                                      </m:sSupPr>
                                      <m:e>
                                        <m:r>
                                          <w:rPr>
                                            <w:rFonts w:ascii="Cambria Math" w:eastAsia="Cambria Math" w:hAnsi="Cambria Math" w:cstheme="minorBidi"/>
                                            <w:color w:val="000000" w:themeColor="text1"/>
                                            <w:sz w:val="18"/>
                                            <w:szCs w:val="18"/>
                                          </w:rPr>
                                          <m:t>10</m:t>
                                        </m:r>
                                      </m:e>
                                      <m:sup>
                                        <m:r>
                                          <w:rPr>
                                            <w:rFonts w:ascii="Cambria Math" w:eastAsia="Cambria Math" w:hAnsi="Cambria Math" w:cstheme="minorBidi"/>
                                            <w:color w:val="000000" w:themeColor="text1"/>
                                            <w:sz w:val="18"/>
                                            <w:szCs w:val="18"/>
                                          </w:rPr>
                                          <m:t>6</m:t>
                                        </m:r>
                                      </m:sup>
                                    </m:sSup>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CO</m:t>
                                        </m:r>
                                      </m:e>
                                      <m:sub>
                                        <m:r>
                                          <w:rPr>
                                            <w:rFonts w:ascii="Cambria Math" w:eastAsia="Cambria Math" w:hAnsi="Cambria Math" w:cstheme="minorBidi"/>
                                            <w:color w:val="000000" w:themeColor="text1"/>
                                            <w:sz w:val="18"/>
                                            <w:szCs w:val="18"/>
                                          </w:rPr>
                                          <m:t>2 </m:t>
                                        </m:r>
                                      </m:sub>
                                    </m:sSub>
                                    <m:r>
                                      <w:rPr>
                                        <w:rFonts w:ascii="Cambria Math" w:eastAsia="Cambria Math" w:hAnsi="Cambria Math" w:cstheme="minorBidi"/>
                                        <w:color w:val="000000" w:themeColor="text1"/>
                                        <w:sz w:val="18"/>
                                        <w:szCs w:val="18"/>
                                      </w:rPr>
                                      <m:t>Partial Pressure</m:t>
                                    </m:r>
                                  </m:den>
                                </m:f>
                              </m:oMath>
                            </m:oMathPara>
                          </w:p>
                        </w:txbxContent>
                      </v:textbox>
                    </v:shape>
                  </w:pict>
                </mc:Fallback>
              </mc:AlternateContent>
            </w:r>
            <w:r w:rsidR="0072148B" w:rsidRPr="0072148B">
              <w:rPr>
                <w:noProof/>
                <w:lang w:val="es-ES"/>
              </w:rPr>
              <mc:AlternateContent>
                <mc:Choice Requires="wps">
                  <w:drawing>
                    <wp:anchor distT="0" distB="0" distL="114300" distR="114300" simplePos="0" relativeHeight="251658240" behindDoc="0" locked="0" layoutInCell="1" allowOverlap="1" wp14:anchorId="095EAC74" wp14:editId="45F36BF5">
                      <wp:simplePos x="0" y="0"/>
                      <wp:positionH relativeFrom="column">
                        <wp:posOffset>5030470</wp:posOffset>
                      </wp:positionH>
                      <wp:positionV relativeFrom="paragraph">
                        <wp:posOffset>5482590</wp:posOffset>
                      </wp:positionV>
                      <wp:extent cx="1514475" cy="371475"/>
                      <wp:effectExtent l="0" t="0" r="0" b="0"/>
                      <wp:wrapNone/>
                      <wp:docPr id="13" name="Cuadro de texto 13">
                        <a:extLst xmlns:a="http://schemas.openxmlformats.org/drawingml/2006/main">
                          <a:ext uri="{FF2B5EF4-FFF2-40B4-BE49-F238E27FC236}">
                            <a16:creationId xmlns:a16="http://schemas.microsoft.com/office/drawing/2014/main" id="{EEDD70C3-62E8-464A-9028-188603EC9052}"/>
                          </a:ext>
                        </a:extLst>
                      </wp:docPr>
                      <wp:cNvGraphicFramePr/>
                      <a:graphic xmlns:a="http://schemas.openxmlformats.org/drawingml/2006/main">
                        <a:graphicData uri="http://schemas.microsoft.com/office/word/2010/wordprocessingShape">
                          <wps:wsp>
                            <wps:cNvSpPr txBox="1"/>
                            <wps:spPr>
                              <a:xfrm>
                                <a:off x="0" y="0"/>
                                <a:ext cx="1514475" cy="37147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8297D2F" w14:textId="77777777" w:rsidR="0072148B" w:rsidRPr="0072148B"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P</m:t>
                                              </m:r>
                                            </m:e>
                                            <m:sub>
                                              <m:r>
                                                <w:rPr>
                                                  <w:rFonts w:ascii="Cambria Math" w:eastAsia="Cambria Math" w:hAnsi="Cambria Math" w:cstheme="minorBidi"/>
                                                  <w:color w:val="000000" w:themeColor="text1"/>
                                                  <w:sz w:val="18"/>
                                                  <w:szCs w:val="18"/>
                                                </w:rPr>
                                                <m:t>Q</m:t>
                                              </m:r>
                                            </m:sub>
                                          </m:sSub>
                                          <m:r>
                                            <w:rPr>
                                              <w:rFonts w:ascii="Cambria Math" w:eastAsia="Cambria Math" w:hAnsi="Cambria Math" w:cstheme="minorBidi"/>
                                              <w:color w:val="000000" w:themeColor="text1"/>
                                              <w:sz w:val="18"/>
                                              <w:szCs w:val="18"/>
                                            </w:rPr>
                                            <m:t> ∙ </m:t>
                                          </m:r>
                                          <m:sSup>
                                            <m:sSupPr>
                                              <m:ctrlPr>
                                                <w:rPr>
                                                  <w:rFonts w:ascii="Cambria Math" w:eastAsia="Cambria Math" w:hAnsi="Cambria Math" w:cstheme="minorBidi"/>
                                                  <w:i/>
                                                  <w:iCs/>
                                                  <w:color w:val="000000" w:themeColor="text1"/>
                                                  <w:sz w:val="18"/>
                                                  <w:szCs w:val="18"/>
                                                </w:rPr>
                                              </m:ctrlPr>
                                            </m:sSupPr>
                                            <m:e>
                                              <m:r>
                                                <w:rPr>
                                                  <w:rFonts w:ascii="Cambria Math" w:eastAsia="Cambria Math" w:hAnsi="Cambria Math" w:cstheme="minorBidi"/>
                                                  <w:color w:val="000000" w:themeColor="text1"/>
                                                  <w:sz w:val="18"/>
                                                  <w:szCs w:val="18"/>
                                                </w:rPr>
                                                <m:t>10</m:t>
                                              </m:r>
                                            </m:e>
                                            <m:sup>
                                              <m:r>
                                                <w:rPr>
                                                  <w:rFonts w:ascii="Cambria Math" w:eastAsia="Cambria Math" w:hAnsi="Cambria Math" w:cstheme="minorBidi"/>
                                                  <w:color w:val="000000" w:themeColor="text1"/>
                                                  <w:sz w:val="18"/>
                                                  <w:szCs w:val="18"/>
                                                </w:rPr>
                                                <m:t>6</m:t>
                                              </m:r>
                                            </m:sup>
                                          </m:sSup>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CO</m:t>
                                              </m:r>
                                            </m:e>
                                            <m:sub>
                                              <m:r>
                                                <w:rPr>
                                                  <w:rFonts w:ascii="Cambria Math" w:eastAsia="Cambria Math" w:hAnsi="Cambria Math" w:cstheme="minorBidi"/>
                                                  <w:color w:val="000000" w:themeColor="text1"/>
                                                  <w:sz w:val="18"/>
                                                  <w:szCs w:val="18"/>
                                                </w:rPr>
                                                <m:t>2 </m:t>
                                              </m:r>
                                            </m:sub>
                                          </m:sSub>
                                          <m:r>
                                            <w:rPr>
                                              <w:rFonts w:ascii="Cambria Math" w:eastAsia="Cambria Math" w:hAnsi="Cambria Math" w:cstheme="minorBidi"/>
                                              <w:color w:val="000000" w:themeColor="text1"/>
                                              <w:sz w:val="18"/>
                                              <w:szCs w:val="18"/>
                                            </w:rPr>
                                            <m:t>Partial Pressure</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095EAC74" id="Cuadro de texto 13" o:spid="_x0000_s1027" type="#_x0000_t202" style="position:absolute;left:0;text-align:left;margin-left:396.1pt;margin-top:431.7pt;width:119.25pt;height:29.2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" filled="f" stroked="f">
                      <v:textbox style="mso-fit-shape-to-text:t" inset="0,0,0,0">
                        <w:txbxContent>
                          <w:p w14:paraId="48297D2F" w14:textId="77777777" w:rsidR="0072148B" w:rsidRPr="0072148B"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P</m:t>
                                        </m:r>
                                      </m:e>
                                      <m:sub>
                                        <m:r>
                                          <w:rPr>
                                            <w:rFonts w:ascii="Cambria Math" w:eastAsia="Cambria Math" w:hAnsi="Cambria Math" w:cstheme="minorBidi"/>
                                            <w:color w:val="000000" w:themeColor="text1"/>
                                            <w:sz w:val="18"/>
                                            <w:szCs w:val="18"/>
                                          </w:rPr>
                                          <m:t>Q</m:t>
                                        </m:r>
                                      </m:sub>
                                    </m:sSub>
                                    <m:r>
                                      <w:rPr>
                                        <w:rFonts w:ascii="Cambria Math" w:eastAsia="Cambria Math" w:hAnsi="Cambria Math" w:cstheme="minorBidi"/>
                                        <w:color w:val="000000" w:themeColor="text1"/>
                                        <w:sz w:val="18"/>
                                        <w:szCs w:val="18"/>
                                      </w:rPr>
                                      <m:t> ∙ </m:t>
                                    </m:r>
                                    <m:sSup>
                                      <m:sSupPr>
                                        <m:ctrlPr>
                                          <w:rPr>
                                            <w:rFonts w:ascii="Cambria Math" w:eastAsia="Cambria Math" w:hAnsi="Cambria Math" w:cstheme="minorBidi"/>
                                            <w:i/>
                                            <w:iCs/>
                                            <w:color w:val="000000" w:themeColor="text1"/>
                                            <w:sz w:val="18"/>
                                            <w:szCs w:val="18"/>
                                          </w:rPr>
                                        </m:ctrlPr>
                                      </m:sSupPr>
                                      <m:e>
                                        <m:r>
                                          <w:rPr>
                                            <w:rFonts w:ascii="Cambria Math" w:eastAsia="Cambria Math" w:hAnsi="Cambria Math" w:cstheme="minorBidi"/>
                                            <w:color w:val="000000" w:themeColor="text1"/>
                                            <w:sz w:val="18"/>
                                            <w:szCs w:val="18"/>
                                          </w:rPr>
                                          <m:t>10</m:t>
                                        </m:r>
                                      </m:e>
                                      <m:sup>
                                        <m:r>
                                          <w:rPr>
                                            <w:rFonts w:ascii="Cambria Math" w:eastAsia="Cambria Math" w:hAnsi="Cambria Math" w:cstheme="minorBidi"/>
                                            <w:color w:val="000000" w:themeColor="text1"/>
                                            <w:sz w:val="18"/>
                                            <w:szCs w:val="18"/>
                                          </w:rPr>
                                          <m:t>6</m:t>
                                        </m:r>
                                      </m:sup>
                                    </m:sSup>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CO</m:t>
                                        </m:r>
                                      </m:e>
                                      <m:sub>
                                        <m:r>
                                          <w:rPr>
                                            <w:rFonts w:ascii="Cambria Math" w:eastAsia="Cambria Math" w:hAnsi="Cambria Math" w:cstheme="minorBidi"/>
                                            <w:color w:val="000000" w:themeColor="text1"/>
                                            <w:sz w:val="18"/>
                                            <w:szCs w:val="18"/>
                                          </w:rPr>
                                          <m:t>2 </m:t>
                                        </m:r>
                                      </m:sub>
                                    </m:sSub>
                                    <m:r>
                                      <w:rPr>
                                        <w:rFonts w:ascii="Cambria Math" w:eastAsia="Cambria Math" w:hAnsi="Cambria Math" w:cstheme="minorBidi"/>
                                        <w:color w:val="000000" w:themeColor="text1"/>
                                        <w:sz w:val="18"/>
                                        <w:szCs w:val="18"/>
                                      </w:rPr>
                                      <m:t>Partial Pressure</m:t>
                                    </m:r>
                                  </m:den>
                                </m:f>
                              </m:oMath>
                            </m:oMathPara>
                          </w:p>
                        </w:txbxContent>
                      </v:textbox>
                    </v:shape>
                  </w:pict>
                </mc:Fallback>
              </mc:AlternateContent>
            </w:r>
          </w:p>
        </w:tc>
      </w:tr>
      <w:tr w:rsidR="0072148B" w:rsidRPr="0072148B" w14:paraId="375FCCBE" w14:textId="77777777" w:rsidTr="0079205E">
        <w:trPr>
          <w:trHeight w:val="563"/>
          <w:jc w:val="center"/>
        </w:trPr>
        <w:tc>
          <w:tcPr>
            <w:tcW w:w="1874" w:type="dxa"/>
            <w:hideMark/>
          </w:tcPr>
          <w:p w14:paraId="31D7ADDA" w14:textId="77777777" w:rsidR="0072148B" w:rsidRPr="001F07EF" w:rsidRDefault="0072148B" w:rsidP="0072148B">
            <w:pPr>
              <w:pStyle w:val="CETBodytext"/>
              <w:spacing w:line="240" w:lineRule="auto"/>
              <w:jc w:val="left"/>
              <w:rPr>
                <w:sz w:val="16"/>
                <w:szCs w:val="18"/>
                <w:lang w:val="es-ES"/>
              </w:rPr>
            </w:pPr>
            <w:proofErr w:type="spellStart"/>
            <w:r w:rsidRPr="001F07EF">
              <w:rPr>
                <w:sz w:val="16"/>
                <w:szCs w:val="18"/>
                <w:lang w:val="es-ES"/>
              </w:rPr>
              <w:t>Inlet</w:t>
            </w:r>
            <w:proofErr w:type="spellEnd"/>
            <w:r w:rsidRPr="001F07EF">
              <w:rPr>
                <w:sz w:val="16"/>
                <w:szCs w:val="18"/>
                <w:lang w:val="es-ES"/>
              </w:rPr>
              <w:t xml:space="preserve"> </w:t>
            </w:r>
            <w:proofErr w:type="spellStart"/>
            <w:r w:rsidRPr="001F07EF">
              <w:rPr>
                <w:sz w:val="16"/>
                <w:szCs w:val="18"/>
                <w:lang w:val="es-ES"/>
              </w:rPr>
              <w:t>Pressure</w:t>
            </w:r>
            <w:proofErr w:type="spellEnd"/>
            <w:r w:rsidRPr="001F07EF">
              <w:rPr>
                <w:sz w:val="16"/>
                <w:szCs w:val="18"/>
                <w:lang w:val="es-ES"/>
              </w:rPr>
              <w:t>, P</w:t>
            </w:r>
            <w:r w:rsidRPr="001F07EF">
              <w:rPr>
                <w:sz w:val="16"/>
                <w:szCs w:val="18"/>
                <w:vertAlign w:val="subscript"/>
                <w:lang w:val="es-ES"/>
              </w:rPr>
              <w:t>IN</w:t>
            </w:r>
            <w:r w:rsidRPr="001F07EF">
              <w:rPr>
                <w:sz w:val="16"/>
                <w:szCs w:val="18"/>
                <w:lang w:val="es-ES"/>
              </w:rPr>
              <w:t xml:space="preserve"> (bar)</w:t>
            </w:r>
          </w:p>
        </w:tc>
        <w:tc>
          <w:tcPr>
            <w:tcW w:w="1827" w:type="dxa"/>
            <w:hideMark/>
          </w:tcPr>
          <w:p w14:paraId="3A35477B" w14:textId="13D4F221" w:rsidR="0072148B" w:rsidRPr="001F07EF" w:rsidRDefault="0072148B" w:rsidP="0072148B">
            <w:pPr>
              <w:pStyle w:val="CETBodytext"/>
              <w:spacing w:line="240" w:lineRule="auto"/>
              <w:jc w:val="left"/>
              <w:rPr>
                <w:sz w:val="16"/>
                <w:szCs w:val="18"/>
              </w:rPr>
            </w:pPr>
            <w:r w:rsidRPr="001F07EF">
              <w:rPr>
                <w:sz w:val="16"/>
                <w:szCs w:val="18"/>
              </w:rPr>
              <w:t>CO</w:t>
            </w:r>
            <w:r w:rsidRPr="001F07EF">
              <w:rPr>
                <w:sz w:val="16"/>
                <w:szCs w:val="18"/>
                <w:vertAlign w:val="subscript"/>
              </w:rPr>
              <w:t>2</w:t>
            </w:r>
            <w:r w:rsidRPr="001F07EF">
              <w:rPr>
                <w:sz w:val="16"/>
                <w:szCs w:val="18"/>
              </w:rPr>
              <w:t xml:space="preserve"> concentration in the </w:t>
            </w:r>
            <w:r w:rsidR="00913C91">
              <w:rPr>
                <w:sz w:val="16"/>
                <w:szCs w:val="18"/>
              </w:rPr>
              <w:t>permeate</w:t>
            </w:r>
            <w:r w:rsidRPr="001F07EF">
              <w:rPr>
                <w:sz w:val="16"/>
                <w:szCs w:val="18"/>
              </w:rPr>
              <w:t>, C</w:t>
            </w:r>
            <w:r w:rsidRPr="001F07EF">
              <w:rPr>
                <w:sz w:val="16"/>
                <w:szCs w:val="18"/>
                <w:vertAlign w:val="subscript"/>
              </w:rPr>
              <w:t>P</w:t>
            </w:r>
            <w:r w:rsidRPr="001F07EF">
              <w:rPr>
                <w:sz w:val="16"/>
                <w:szCs w:val="18"/>
              </w:rPr>
              <w:t xml:space="preserve"> (%)</w:t>
            </w:r>
          </w:p>
        </w:tc>
        <w:tc>
          <w:tcPr>
            <w:tcW w:w="2390" w:type="dxa"/>
            <w:hideMark/>
          </w:tcPr>
          <w:p w14:paraId="290417DF" w14:textId="5522A951" w:rsidR="0072148B" w:rsidRPr="001F07EF" w:rsidRDefault="0072148B" w:rsidP="0072148B">
            <w:pPr>
              <w:pStyle w:val="CETBodytext"/>
              <w:spacing w:line="240" w:lineRule="auto"/>
              <w:jc w:val="left"/>
              <w:rPr>
                <w:sz w:val="16"/>
                <w:szCs w:val="18"/>
                <w:lang w:val="es-ES"/>
              </w:rPr>
            </w:pPr>
            <w:proofErr w:type="spellStart"/>
            <w:r w:rsidRPr="001F07EF">
              <w:rPr>
                <w:sz w:val="16"/>
                <w:szCs w:val="18"/>
                <w:lang w:val="es-ES"/>
              </w:rPr>
              <w:t>Permeability</w:t>
            </w:r>
            <w:proofErr w:type="spellEnd"/>
            <w:r w:rsidRPr="001F07EF">
              <w:rPr>
                <w:sz w:val="16"/>
                <w:szCs w:val="18"/>
                <w:lang w:val="es-ES"/>
              </w:rPr>
              <w:t xml:space="preserve"> (Barrer)</w:t>
            </w:r>
          </w:p>
        </w:tc>
        <w:tc>
          <w:tcPr>
            <w:tcW w:w="2686" w:type="dxa"/>
            <w:hideMark/>
          </w:tcPr>
          <w:p w14:paraId="1D1485DA" w14:textId="2DC67EBD" w:rsidR="0072148B" w:rsidRPr="0072148B" w:rsidRDefault="0079205E" w:rsidP="0072148B">
            <w:pPr>
              <w:pStyle w:val="CETBodytext"/>
              <w:spacing w:line="240" w:lineRule="auto"/>
              <w:rPr>
                <w:lang w:val="es-ES"/>
              </w:rPr>
            </w:pPr>
            <w:r w:rsidRPr="0072148B">
              <w:rPr>
                <w:noProof/>
                <w:lang w:val="es-ES"/>
              </w:rPr>
              <mc:AlternateContent>
                <mc:Choice Requires="wps">
                  <w:drawing>
                    <wp:anchor distT="0" distB="0" distL="114300" distR="114300" simplePos="0" relativeHeight="251659264" behindDoc="0" locked="0" layoutInCell="1" allowOverlap="1" wp14:anchorId="100A90B8" wp14:editId="268181D4">
                      <wp:simplePos x="0" y="0"/>
                      <wp:positionH relativeFrom="column">
                        <wp:posOffset>-666750</wp:posOffset>
                      </wp:positionH>
                      <wp:positionV relativeFrom="paragraph">
                        <wp:posOffset>38100</wp:posOffset>
                      </wp:positionV>
                      <wp:extent cx="3086100" cy="180975"/>
                      <wp:effectExtent l="0" t="0" r="0" b="0"/>
                      <wp:wrapNone/>
                      <wp:docPr id="12" name="Cuadro de texto 12">
                        <a:extLst xmlns:a="http://schemas.openxmlformats.org/drawingml/2006/main">
                          <a:ext uri="{FF2B5EF4-FFF2-40B4-BE49-F238E27FC236}">
                            <a16:creationId xmlns:a16="http://schemas.microsoft.com/office/drawing/2014/main" id="{BC45D3AA-AF53-4612-A5A0-C3A306D1A9D6}"/>
                          </a:ext>
                        </a:extLst>
                      </wp:docPr>
                      <wp:cNvGraphicFramePr/>
                      <a:graphic xmlns:a="http://schemas.openxmlformats.org/drawingml/2006/main">
                        <a:graphicData uri="http://schemas.microsoft.com/office/word/2010/wordprocessingShape">
                          <wps:wsp>
                            <wps:cNvSpPr txBox="1"/>
                            <wps:spPr>
                              <a:xfrm>
                                <a:off x="0" y="0"/>
                                <a:ext cx="3086100" cy="18097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4234F27" w14:textId="77777777" w:rsidR="001F07EF" w:rsidRPr="001F07EF" w:rsidRDefault="0072148B" w:rsidP="0072148B">
                                  <w:pPr>
                                    <w:rPr>
                                      <w:rFonts w:asciiTheme="minorHAnsi" w:eastAsiaTheme="minorEastAsia" w:hAnsiTheme="minorHAnsi" w:cstheme="minorBid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=Permeance </m:t>
                                      </m:r>
                                      <m:d>
                                        <m:dPr>
                                          <m:ctrlPr>
                                            <w:rPr>
                                              <w:rFonts w:ascii="Cambria Math" w:eastAsia="Cambria Math" w:hAnsi="Cambria Math" w:cstheme="minorBidi"/>
                                              <w:i/>
                                              <w:iCs/>
                                              <w:color w:val="000000" w:themeColor="text1"/>
                                              <w:sz w:val="18"/>
                                              <w:szCs w:val="18"/>
                                            </w:rPr>
                                          </m:ctrlPr>
                                        </m:dPr>
                                        <m:e>
                                          <m:r>
                                            <w:rPr>
                                              <w:rFonts w:ascii="Cambria Math" w:eastAsia="Cambria Math" w:hAnsi="Cambria Math" w:cstheme="minorBidi"/>
                                              <w:color w:val="000000" w:themeColor="text1"/>
                                              <w:sz w:val="18"/>
                                              <w:szCs w:val="18"/>
                                            </w:rPr>
                                            <m:t>GPU</m:t>
                                          </m:r>
                                        </m:e>
                                      </m:d>
                                      <m:r>
                                        <w:rPr>
                                          <w:rFonts w:ascii="Cambria Math" w:eastAsia="Cambria Math" w:hAnsi="Cambria Math" w:cstheme="minorBidi"/>
                                          <w:color w:val="000000" w:themeColor="text1"/>
                                          <w:sz w:val="18"/>
                                          <w:szCs w:val="18"/>
                                        </w:rPr>
                                        <m:t>∙</m:t>
                                      </m:r>
                                    </m:oMath>
                                  </m:oMathPara>
                                </w:p>
                                <w:p w14:paraId="2D20D309" w14:textId="6617ABA0" w:rsidR="0072148B" w:rsidRPr="001F07EF"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Membrane Thickness(mm)</m:t>
                                      </m:r>
                                    </m:oMath>
                                  </m:oMathPara>
                                </w:p>
                              </w:txbxContent>
                            </wps:txbx>
                            <wps:bodyPr vertOverflow="clip" horzOverflow="clip" wrap="squar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00A90B8" id="Cuadro de texto 12" o:spid="_x0000_s1028" type="#_x0000_t202" style="position:absolute;left:0;text-align:left;margin-left:-52.5pt;margin-top:3pt;width:243pt;height:1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" filled="f" stroked="f">
                      <v:textbox style="mso-fit-shape-to-text:t" inset="0,0,0,0">
                        <w:txbxContent>
                          <w:p w14:paraId="74234F27" w14:textId="77777777" w:rsidR="001F07EF" w:rsidRPr="001F07EF" w:rsidRDefault="0072148B" w:rsidP="0072148B">
                            <w:pPr>
                              <w:rPr>
                                <w:rFonts w:asciiTheme="minorHAnsi" w:eastAsiaTheme="minorEastAsia" w:hAnsiTheme="minorHAnsi" w:cstheme="minorBid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=Permeance </m:t>
                                </m:r>
                                <m:d>
                                  <m:dPr>
                                    <m:ctrlPr>
                                      <w:rPr>
                                        <w:rFonts w:ascii="Cambria Math" w:eastAsia="Cambria Math" w:hAnsi="Cambria Math" w:cstheme="minorBidi"/>
                                        <w:i/>
                                        <w:iCs/>
                                        <w:color w:val="000000" w:themeColor="text1"/>
                                        <w:sz w:val="18"/>
                                        <w:szCs w:val="18"/>
                                      </w:rPr>
                                    </m:ctrlPr>
                                  </m:dPr>
                                  <m:e>
                                    <m:r>
                                      <w:rPr>
                                        <w:rFonts w:ascii="Cambria Math" w:eastAsia="Cambria Math" w:hAnsi="Cambria Math" w:cstheme="minorBidi"/>
                                        <w:color w:val="000000" w:themeColor="text1"/>
                                        <w:sz w:val="18"/>
                                        <w:szCs w:val="18"/>
                                      </w:rPr>
                                      <m:t>GPU</m:t>
                                    </m:r>
                                  </m:e>
                                </m:d>
                                <m:r>
                                  <w:rPr>
                                    <w:rFonts w:ascii="Cambria Math" w:eastAsia="Cambria Math" w:hAnsi="Cambria Math" w:cstheme="minorBidi"/>
                                    <w:color w:val="000000" w:themeColor="text1"/>
                                    <w:sz w:val="18"/>
                                    <w:szCs w:val="18"/>
                                  </w:rPr>
                                  <m:t>∙</m:t>
                                </m:r>
                              </m:oMath>
                            </m:oMathPara>
                          </w:p>
                          <w:p w14:paraId="2D20D309" w14:textId="6617ABA0" w:rsidR="0072148B" w:rsidRPr="001F07EF"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Membrane Thickness(mm)</m:t>
                                </m:r>
                              </m:oMath>
                            </m:oMathPara>
                          </w:p>
                        </w:txbxContent>
                      </v:textbox>
                    </v:shape>
                  </w:pict>
                </mc:Fallback>
              </mc:AlternateContent>
            </w:r>
          </w:p>
        </w:tc>
      </w:tr>
      <w:tr w:rsidR="0072148B" w:rsidRPr="0072148B" w14:paraId="221FB8D5" w14:textId="77777777" w:rsidTr="0079205E">
        <w:trPr>
          <w:trHeight w:val="557"/>
          <w:jc w:val="center"/>
        </w:trPr>
        <w:tc>
          <w:tcPr>
            <w:tcW w:w="1874" w:type="dxa"/>
            <w:hideMark/>
          </w:tcPr>
          <w:p w14:paraId="713E78FA" w14:textId="77777777" w:rsidR="0072148B" w:rsidRPr="001F07EF" w:rsidRDefault="0072148B" w:rsidP="0072148B">
            <w:pPr>
              <w:pStyle w:val="CETBodytext"/>
              <w:spacing w:line="240" w:lineRule="auto"/>
              <w:rPr>
                <w:sz w:val="16"/>
                <w:szCs w:val="18"/>
                <w:lang w:val="es-ES"/>
              </w:rPr>
            </w:pPr>
            <w:r w:rsidRPr="001F07EF">
              <w:rPr>
                <w:sz w:val="16"/>
                <w:szCs w:val="18"/>
                <w:lang w:val="es-ES"/>
              </w:rPr>
              <w:t xml:space="preserve">Permeate </w:t>
            </w:r>
            <w:proofErr w:type="spellStart"/>
            <w:r w:rsidRPr="001F07EF">
              <w:rPr>
                <w:sz w:val="16"/>
                <w:szCs w:val="18"/>
                <w:lang w:val="es-ES"/>
              </w:rPr>
              <w:t>pressure</w:t>
            </w:r>
            <w:proofErr w:type="spellEnd"/>
            <w:r w:rsidRPr="001F07EF">
              <w:rPr>
                <w:sz w:val="16"/>
                <w:szCs w:val="18"/>
                <w:lang w:val="es-ES"/>
              </w:rPr>
              <w:t>, P</w:t>
            </w:r>
            <w:r w:rsidRPr="001F07EF">
              <w:rPr>
                <w:sz w:val="16"/>
                <w:szCs w:val="18"/>
                <w:vertAlign w:val="subscript"/>
                <w:lang w:val="es-ES"/>
              </w:rPr>
              <w:t>P</w:t>
            </w:r>
            <w:r w:rsidRPr="001F07EF">
              <w:rPr>
                <w:sz w:val="16"/>
                <w:szCs w:val="18"/>
                <w:lang w:val="es-ES"/>
              </w:rPr>
              <w:t xml:space="preserve"> (bar)</w:t>
            </w:r>
          </w:p>
        </w:tc>
        <w:tc>
          <w:tcPr>
            <w:tcW w:w="1827" w:type="dxa"/>
            <w:hideMark/>
          </w:tcPr>
          <w:p w14:paraId="04B3F481" w14:textId="0A9ADBA2" w:rsidR="0072148B" w:rsidRPr="001F07EF" w:rsidRDefault="0072148B" w:rsidP="0072148B">
            <w:pPr>
              <w:pStyle w:val="CETBodytext"/>
              <w:spacing w:line="240" w:lineRule="auto"/>
              <w:rPr>
                <w:sz w:val="16"/>
                <w:szCs w:val="18"/>
              </w:rPr>
            </w:pPr>
            <w:r w:rsidRPr="001F07EF">
              <w:rPr>
                <w:sz w:val="16"/>
                <w:szCs w:val="18"/>
              </w:rPr>
              <w:t>Perm</w:t>
            </w:r>
            <w:r w:rsidR="00454677">
              <w:rPr>
                <w:sz w:val="16"/>
                <w:szCs w:val="18"/>
              </w:rPr>
              <w:t>e</w:t>
            </w:r>
            <w:r w:rsidRPr="001F07EF">
              <w:rPr>
                <w:sz w:val="16"/>
                <w:szCs w:val="18"/>
              </w:rPr>
              <w:t>ate flowrate, P</w:t>
            </w:r>
            <w:r w:rsidRPr="001F07EF">
              <w:rPr>
                <w:sz w:val="16"/>
                <w:szCs w:val="18"/>
                <w:vertAlign w:val="subscript"/>
              </w:rPr>
              <w:t>Q</w:t>
            </w:r>
            <w:r w:rsidRPr="001F07EF">
              <w:rPr>
                <w:sz w:val="16"/>
                <w:szCs w:val="18"/>
              </w:rPr>
              <w:t xml:space="preserve"> (L min</w:t>
            </w:r>
            <w:r w:rsidRPr="001F07EF">
              <w:rPr>
                <w:sz w:val="16"/>
                <w:szCs w:val="18"/>
                <w:vertAlign w:val="superscript"/>
              </w:rPr>
              <w:t>-1</w:t>
            </w:r>
            <w:r w:rsidRPr="001F07EF">
              <w:rPr>
                <w:sz w:val="16"/>
                <w:szCs w:val="18"/>
              </w:rPr>
              <w:t>)</w:t>
            </w:r>
          </w:p>
        </w:tc>
        <w:tc>
          <w:tcPr>
            <w:tcW w:w="2390" w:type="dxa"/>
            <w:hideMark/>
          </w:tcPr>
          <w:p w14:paraId="06B798B6" w14:textId="77777777" w:rsidR="0072148B" w:rsidRPr="001F07EF" w:rsidRDefault="0072148B" w:rsidP="0072148B">
            <w:pPr>
              <w:pStyle w:val="CETBodytext"/>
              <w:spacing w:line="240" w:lineRule="auto"/>
              <w:rPr>
                <w:sz w:val="16"/>
                <w:szCs w:val="18"/>
                <w:lang w:val="es-ES"/>
              </w:rPr>
            </w:pPr>
            <w:proofErr w:type="spellStart"/>
            <w:r w:rsidRPr="001F07EF">
              <w:rPr>
                <w:sz w:val="16"/>
                <w:szCs w:val="18"/>
                <w:lang w:val="es-ES"/>
              </w:rPr>
              <w:t>Selectivity</w:t>
            </w:r>
            <w:proofErr w:type="spellEnd"/>
          </w:p>
        </w:tc>
        <w:tc>
          <w:tcPr>
            <w:tcW w:w="2686" w:type="dxa"/>
            <w:hideMark/>
          </w:tcPr>
          <w:p w14:paraId="4C6A3929" w14:textId="3B11FE52" w:rsidR="0072148B" w:rsidRPr="0072148B" w:rsidRDefault="0079205E" w:rsidP="0072148B">
            <w:pPr>
              <w:pStyle w:val="CETBodytext"/>
              <w:spacing w:line="240" w:lineRule="auto"/>
              <w:rPr>
                <w:lang w:val="es-ES"/>
              </w:rPr>
            </w:pPr>
            <w:r w:rsidRPr="0072148B">
              <w:rPr>
                <w:noProof/>
                <w:lang w:val="es-ES"/>
              </w:rPr>
              <mc:AlternateContent>
                <mc:Choice Requires="wps">
                  <w:drawing>
                    <wp:anchor distT="0" distB="0" distL="114300" distR="114300" simplePos="0" relativeHeight="251660288" behindDoc="0" locked="0" layoutInCell="1" allowOverlap="1" wp14:anchorId="005EADA0" wp14:editId="515E641A">
                      <wp:simplePos x="0" y="0"/>
                      <wp:positionH relativeFrom="column">
                        <wp:posOffset>209550</wp:posOffset>
                      </wp:positionH>
                      <wp:positionV relativeFrom="paragraph">
                        <wp:posOffset>19050</wp:posOffset>
                      </wp:positionV>
                      <wp:extent cx="1438275" cy="352425"/>
                      <wp:effectExtent l="0" t="0" r="0" b="0"/>
                      <wp:wrapNone/>
                      <wp:docPr id="11" name="Cuadro de texto 11">
                        <a:extLst xmlns:a="http://schemas.openxmlformats.org/drawingml/2006/main">
                          <a:ext uri="{FF2B5EF4-FFF2-40B4-BE49-F238E27FC236}">
                            <a16:creationId xmlns:a16="http://schemas.microsoft.com/office/drawing/2014/main" id="{68D9962D-B897-4133-97CD-AEFC4C64026C}"/>
                          </a:ext>
                        </a:extLst>
                      </wp:docPr>
                      <wp:cNvGraphicFramePr/>
                      <a:graphic xmlns:a="http://schemas.openxmlformats.org/drawingml/2006/main">
                        <a:graphicData uri="http://schemas.microsoft.com/office/word/2010/wordprocessingShape">
                          <wps:wsp>
                            <wps:cNvSpPr txBox="1"/>
                            <wps:spPr>
                              <a:xfrm>
                                <a:off x="0" y="0"/>
                                <a:ext cx="1438275" cy="35242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2D725F5" w14:textId="77777777" w:rsidR="0072148B" w:rsidRPr="001F07EF"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CO</m:t>
                                              </m:r>
                                            </m:e>
                                            <m:sub>
                                              <m:r>
                                                <w:rPr>
                                                  <w:rFonts w:ascii="Cambria Math" w:eastAsia="Cambria Math" w:hAnsi="Cambria Math" w:cstheme="minorBidi"/>
                                                  <w:color w:val="000000" w:themeColor="text1"/>
                                                  <w:sz w:val="18"/>
                                                  <w:szCs w:val="18"/>
                                                </w:rPr>
                                                <m:t>2</m:t>
                                              </m:r>
                                            </m:sub>
                                          </m:sSub>
                                          <m:r>
                                            <w:rPr>
                                              <w:rFonts w:ascii="Cambria Math" w:eastAsia="Cambria Math" w:hAnsi="Cambria Math" w:cstheme="minorBidi"/>
                                              <w:color w:val="000000" w:themeColor="text1"/>
                                              <w:sz w:val="18"/>
                                              <w:szCs w:val="18"/>
                                            </w:rPr>
                                            <m:t> Permeability</m:t>
                                          </m:r>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N</m:t>
                                              </m:r>
                                            </m:e>
                                            <m:sub>
                                              <m:r>
                                                <w:rPr>
                                                  <w:rFonts w:ascii="Cambria Math" w:eastAsia="Cambria Math" w:hAnsi="Cambria Math" w:cstheme="minorBidi"/>
                                                  <w:color w:val="000000" w:themeColor="text1"/>
                                                  <w:sz w:val="18"/>
                                                  <w:szCs w:val="18"/>
                                                </w:rPr>
                                                <m:t>2</m:t>
                                              </m:r>
                                            </m:sub>
                                          </m:sSub>
                                          <m:r>
                                            <w:rPr>
                                              <w:rFonts w:ascii="Cambria Math" w:eastAsia="Cambria Math" w:hAnsi="Cambria Math" w:cstheme="minorBidi"/>
                                              <w:color w:val="000000" w:themeColor="text1"/>
                                              <w:sz w:val="18"/>
                                              <w:szCs w:val="18"/>
                                            </w:rPr>
                                            <m:t>/</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O</m:t>
                                              </m:r>
                                            </m:e>
                                            <m:sub>
                                              <m:r>
                                                <w:rPr>
                                                  <w:rFonts w:ascii="Cambria Math" w:eastAsia="Cambria Math" w:hAnsi="Cambria Math" w:cstheme="minorBidi"/>
                                                  <w:color w:val="000000" w:themeColor="text1"/>
                                                  <w:sz w:val="18"/>
                                                  <w:szCs w:val="18"/>
                                                </w:rPr>
                                                <m:t>2</m:t>
                                              </m:r>
                                            </m:sub>
                                          </m:sSub>
                                          <m:r>
                                            <w:rPr>
                                              <w:rFonts w:ascii="Cambria Math" w:eastAsia="Cambria Math" w:hAnsi="Cambria Math" w:cstheme="minorBidi"/>
                                              <w:color w:val="000000" w:themeColor="text1"/>
                                              <w:sz w:val="18"/>
                                              <w:szCs w:val="18"/>
                                            </w:rPr>
                                            <m:t> Permeability</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005EADA0" id="Cuadro de texto 11" o:spid="_x0000_s1029" type="#_x0000_t202" style="position:absolute;left:0;text-align:left;margin-left:16.5pt;margin-top:1.5pt;width:113.25pt;height:27.75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" filled="f" stroked="f">
                      <v:textbox style="mso-fit-shape-to-text:t" inset="0,0,0,0">
                        <w:txbxContent>
                          <w:p w14:paraId="22D725F5" w14:textId="77777777" w:rsidR="0072148B" w:rsidRPr="001F07EF"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CO</m:t>
                                        </m:r>
                                      </m:e>
                                      <m:sub>
                                        <m:r>
                                          <w:rPr>
                                            <w:rFonts w:ascii="Cambria Math" w:eastAsia="Cambria Math" w:hAnsi="Cambria Math" w:cstheme="minorBidi"/>
                                            <w:color w:val="000000" w:themeColor="text1"/>
                                            <w:sz w:val="18"/>
                                            <w:szCs w:val="18"/>
                                          </w:rPr>
                                          <m:t>2</m:t>
                                        </m:r>
                                      </m:sub>
                                    </m:sSub>
                                    <m:r>
                                      <w:rPr>
                                        <w:rFonts w:ascii="Cambria Math" w:eastAsia="Cambria Math" w:hAnsi="Cambria Math" w:cstheme="minorBidi"/>
                                        <w:color w:val="000000" w:themeColor="text1"/>
                                        <w:sz w:val="18"/>
                                        <w:szCs w:val="18"/>
                                      </w:rPr>
                                      <m:t> Permeability</m:t>
                                    </m:r>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N</m:t>
                                        </m:r>
                                      </m:e>
                                      <m:sub>
                                        <m:r>
                                          <w:rPr>
                                            <w:rFonts w:ascii="Cambria Math" w:eastAsia="Cambria Math" w:hAnsi="Cambria Math" w:cstheme="minorBidi"/>
                                            <w:color w:val="000000" w:themeColor="text1"/>
                                            <w:sz w:val="18"/>
                                            <w:szCs w:val="18"/>
                                          </w:rPr>
                                          <m:t>2</m:t>
                                        </m:r>
                                      </m:sub>
                                    </m:sSub>
                                    <m:r>
                                      <w:rPr>
                                        <w:rFonts w:ascii="Cambria Math" w:eastAsia="Cambria Math" w:hAnsi="Cambria Math" w:cstheme="minorBidi"/>
                                        <w:color w:val="000000" w:themeColor="text1"/>
                                        <w:sz w:val="18"/>
                                        <w:szCs w:val="18"/>
                                      </w:rPr>
                                      <m:t>/</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O</m:t>
                                        </m:r>
                                      </m:e>
                                      <m:sub>
                                        <m:r>
                                          <w:rPr>
                                            <w:rFonts w:ascii="Cambria Math" w:eastAsia="Cambria Math" w:hAnsi="Cambria Math" w:cstheme="minorBidi"/>
                                            <w:color w:val="000000" w:themeColor="text1"/>
                                            <w:sz w:val="18"/>
                                            <w:szCs w:val="18"/>
                                          </w:rPr>
                                          <m:t>2</m:t>
                                        </m:r>
                                      </m:sub>
                                    </m:sSub>
                                    <m:r>
                                      <w:rPr>
                                        <w:rFonts w:ascii="Cambria Math" w:eastAsia="Cambria Math" w:hAnsi="Cambria Math" w:cstheme="minorBidi"/>
                                        <w:color w:val="000000" w:themeColor="text1"/>
                                        <w:sz w:val="18"/>
                                        <w:szCs w:val="18"/>
                                      </w:rPr>
                                      <m:t> Permeability</m:t>
                                    </m:r>
                                  </m:den>
                                </m:f>
                              </m:oMath>
                            </m:oMathPara>
                          </w:p>
                        </w:txbxContent>
                      </v:textbox>
                    </v:shape>
                  </w:pict>
                </mc:Fallback>
              </mc:AlternateContent>
            </w:r>
          </w:p>
        </w:tc>
      </w:tr>
      <w:tr w:rsidR="0072148B" w:rsidRPr="0072148B" w14:paraId="5DA52FB0" w14:textId="77777777" w:rsidTr="0079205E">
        <w:trPr>
          <w:trHeight w:val="551"/>
          <w:jc w:val="center"/>
        </w:trPr>
        <w:tc>
          <w:tcPr>
            <w:tcW w:w="1874" w:type="dxa"/>
            <w:hideMark/>
          </w:tcPr>
          <w:p w14:paraId="36027C2D" w14:textId="77777777" w:rsidR="0072148B" w:rsidRPr="001F07EF" w:rsidRDefault="0072148B" w:rsidP="00ED4769">
            <w:pPr>
              <w:pStyle w:val="CETBodytext"/>
              <w:spacing w:line="240" w:lineRule="auto"/>
              <w:jc w:val="left"/>
              <w:rPr>
                <w:sz w:val="16"/>
                <w:szCs w:val="18"/>
              </w:rPr>
            </w:pPr>
            <w:r w:rsidRPr="001F07EF">
              <w:rPr>
                <w:sz w:val="16"/>
                <w:szCs w:val="18"/>
              </w:rPr>
              <w:t>Feed flowrate, F</w:t>
            </w:r>
            <w:r w:rsidRPr="001F07EF">
              <w:rPr>
                <w:sz w:val="16"/>
                <w:szCs w:val="18"/>
                <w:vertAlign w:val="subscript"/>
              </w:rPr>
              <w:t>Q</w:t>
            </w:r>
            <w:r w:rsidRPr="001F07EF">
              <w:rPr>
                <w:sz w:val="16"/>
                <w:szCs w:val="18"/>
              </w:rPr>
              <w:t xml:space="preserve"> (L min</w:t>
            </w:r>
            <w:r w:rsidRPr="001F07EF">
              <w:rPr>
                <w:sz w:val="16"/>
                <w:szCs w:val="18"/>
                <w:vertAlign w:val="superscript"/>
              </w:rPr>
              <w:t>-1</w:t>
            </w:r>
            <w:r w:rsidRPr="001F07EF">
              <w:rPr>
                <w:sz w:val="16"/>
                <w:szCs w:val="18"/>
              </w:rPr>
              <w:t>)</w:t>
            </w:r>
          </w:p>
        </w:tc>
        <w:tc>
          <w:tcPr>
            <w:tcW w:w="1827" w:type="dxa"/>
            <w:hideMark/>
          </w:tcPr>
          <w:p w14:paraId="1862980D" w14:textId="77777777" w:rsidR="0072148B" w:rsidRPr="001F07EF" w:rsidRDefault="0072148B" w:rsidP="00ED4769">
            <w:pPr>
              <w:pStyle w:val="CETBodytext"/>
              <w:spacing w:line="240" w:lineRule="auto"/>
              <w:jc w:val="left"/>
              <w:rPr>
                <w:sz w:val="16"/>
                <w:szCs w:val="18"/>
              </w:rPr>
            </w:pPr>
            <w:r w:rsidRPr="001F07EF">
              <w:rPr>
                <w:sz w:val="16"/>
                <w:szCs w:val="18"/>
              </w:rPr>
              <w:t>Retentate flowrate, R</w:t>
            </w:r>
            <w:r w:rsidRPr="001F07EF">
              <w:rPr>
                <w:sz w:val="16"/>
                <w:szCs w:val="18"/>
                <w:vertAlign w:val="subscript"/>
              </w:rPr>
              <w:t>Q</w:t>
            </w:r>
            <w:r w:rsidRPr="001F07EF">
              <w:rPr>
                <w:sz w:val="16"/>
                <w:szCs w:val="18"/>
              </w:rPr>
              <w:t xml:space="preserve"> (L min</w:t>
            </w:r>
            <w:r w:rsidRPr="0066324B">
              <w:rPr>
                <w:sz w:val="16"/>
                <w:szCs w:val="18"/>
                <w:vertAlign w:val="superscript"/>
              </w:rPr>
              <w:t>-1</w:t>
            </w:r>
            <w:r w:rsidRPr="001F07EF">
              <w:rPr>
                <w:sz w:val="16"/>
                <w:szCs w:val="18"/>
              </w:rPr>
              <w:t>)</w:t>
            </w:r>
          </w:p>
        </w:tc>
        <w:tc>
          <w:tcPr>
            <w:tcW w:w="2390" w:type="dxa"/>
            <w:hideMark/>
          </w:tcPr>
          <w:p w14:paraId="196FEC10" w14:textId="77777777" w:rsidR="0072148B" w:rsidRPr="001F07EF" w:rsidRDefault="0072148B" w:rsidP="00ED4769">
            <w:pPr>
              <w:pStyle w:val="CETBodytext"/>
              <w:spacing w:line="240" w:lineRule="auto"/>
              <w:jc w:val="left"/>
              <w:rPr>
                <w:sz w:val="16"/>
                <w:szCs w:val="18"/>
                <w:lang w:val="es-ES"/>
              </w:rPr>
            </w:pPr>
            <w:r w:rsidRPr="001F07EF">
              <w:rPr>
                <w:sz w:val="16"/>
                <w:szCs w:val="18"/>
                <w:lang w:val="es-ES"/>
              </w:rPr>
              <w:t xml:space="preserve">Capture </w:t>
            </w:r>
            <w:proofErr w:type="spellStart"/>
            <w:r w:rsidRPr="001F07EF">
              <w:rPr>
                <w:sz w:val="16"/>
                <w:szCs w:val="18"/>
                <w:lang w:val="es-ES"/>
              </w:rPr>
              <w:t>efficiency</w:t>
            </w:r>
            <w:proofErr w:type="spellEnd"/>
            <w:r w:rsidRPr="001F07EF">
              <w:rPr>
                <w:sz w:val="16"/>
                <w:szCs w:val="18"/>
                <w:lang w:val="es-ES"/>
              </w:rPr>
              <w:t>, ɳ (%)</w:t>
            </w:r>
          </w:p>
        </w:tc>
        <w:tc>
          <w:tcPr>
            <w:tcW w:w="2686" w:type="dxa"/>
            <w:hideMark/>
          </w:tcPr>
          <w:p w14:paraId="75BFE445" w14:textId="43CA405D" w:rsidR="0072148B" w:rsidRPr="0072148B" w:rsidRDefault="0072148B" w:rsidP="0072148B">
            <w:pPr>
              <w:pStyle w:val="CETBodytext"/>
              <w:spacing w:line="240" w:lineRule="auto"/>
              <w:rPr>
                <w:lang w:val="es-ES"/>
              </w:rPr>
            </w:pPr>
            <w:r w:rsidRPr="0072148B">
              <w:rPr>
                <w:noProof/>
                <w:lang w:val="es-ES"/>
              </w:rPr>
              <mc:AlternateContent>
                <mc:Choice Requires="wps">
                  <w:drawing>
                    <wp:anchor distT="0" distB="0" distL="114300" distR="114300" simplePos="0" relativeHeight="251661312" behindDoc="0" locked="0" layoutInCell="1" allowOverlap="1" wp14:anchorId="4B37913D" wp14:editId="2D331B3A">
                      <wp:simplePos x="0" y="0"/>
                      <wp:positionH relativeFrom="column">
                        <wp:posOffset>514350</wp:posOffset>
                      </wp:positionH>
                      <wp:positionV relativeFrom="paragraph">
                        <wp:posOffset>19050</wp:posOffset>
                      </wp:positionV>
                      <wp:extent cx="676275" cy="352425"/>
                      <wp:effectExtent l="0" t="0" r="0" b="0"/>
                      <wp:wrapNone/>
                      <wp:docPr id="10" name="Cuadro de texto 10">
                        <a:extLst xmlns:a="http://schemas.openxmlformats.org/drawingml/2006/main">
                          <a:ext uri="{FF2B5EF4-FFF2-40B4-BE49-F238E27FC236}">
                            <a16:creationId xmlns:a16="http://schemas.microsoft.com/office/drawing/2014/main" id="{55BC7089-37E7-4C5C-BE6D-28065438B4E2}"/>
                          </a:ext>
                        </a:extLst>
                      </wp:docPr>
                      <wp:cNvGraphicFramePr/>
                      <a:graphic xmlns:a="http://schemas.openxmlformats.org/drawingml/2006/main">
                        <a:graphicData uri="http://schemas.microsoft.com/office/word/2010/wordprocessingShape">
                          <wps:wsp>
                            <wps:cNvSpPr txBox="1"/>
                            <wps:spPr>
                              <a:xfrm>
                                <a:off x="0" y="0"/>
                                <a:ext cx="676275" cy="35242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9D3F77D" w14:textId="77777777" w:rsidR="0072148B" w:rsidRPr="00ED4769"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m:t>
                                              </m:r>
                                            </m:e>
                                            <m:sub>
                                              <m:r>
                                                <w:rPr>
                                                  <w:rFonts w:ascii="Cambria Math" w:eastAsia="Cambria Math" w:hAnsi="Cambria Math" w:cstheme="minorBidi"/>
                                                  <w:color w:val="000000" w:themeColor="text1"/>
                                                  <w:sz w:val="18"/>
                                                  <w:szCs w:val="18"/>
                                                </w:rPr>
                                                <m:t>P</m:t>
                                              </m:r>
                                            </m:sub>
                                          </m:sSub>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m:t>
                                              </m:r>
                                            </m:e>
                                            <m:sub>
                                              <m:r>
                                                <w:rPr>
                                                  <w:rFonts w:ascii="Cambria Math" w:eastAsia="Cambria Math" w:hAnsi="Cambria Math" w:cstheme="minorBidi"/>
                                                  <w:color w:val="000000" w:themeColor="text1"/>
                                                  <w:sz w:val="18"/>
                                                  <w:szCs w:val="18"/>
                                                </w:rPr>
                                                <m:t>I</m:t>
                                              </m:r>
                                            </m:sub>
                                          </m:sSub>
                                        </m:den>
                                      </m:f>
                                      <m:r>
                                        <w:rPr>
                                          <w:rFonts w:ascii="Cambria Math" w:eastAsia="Cambria Math" w:hAnsi="Cambria Math" w:cstheme="minorBidi"/>
                                          <w:color w:val="000000" w:themeColor="text1"/>
                                          <w:sz w:val="18"/>
                                          <w:szCs w:val="18"/>
                                        </w:rPr>
                                        <m:t>∙100</m:t>
                                      </m:r>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B37913D" id="Cuadro de texto 10" o:spid="_x0000_s1030" type="#_x0000_t202" style="position:absolute;left:0;text-align:left;margin-left:40.5pt;margin-top:1.5pt;width:53.25pt;height:27.7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" filled="f" stroked="f">
                      <v:textbox style="mso-fit-shape-to-text:t" inset="0,0,0,0">
                        <w:txbxContent>
                          <w:p w14:paraId="29D3F77D" w14:textId="77777777" w:rsidR="0072148B" w:rsidRPr="00ED4769" w:rsidRDefault="0072148B" w:rsidP="0072148B">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m:t>
                                        </m:r>
                                      </m:e>
                                      <m:sub>
                                        <m:r>
                                          <w:rPr>
                                            <w:rFonts w:ascii="Cambria Math" w:eastAsia="Cambria Math" w:hAnsi="Cambria Math" w:cstheme="minorBidi"/>
                                            <w:color w:val="000000" w:themeColor="text1"/>
                                            <w:sz w:val="18"/>
                                            <w:szCs w:val="18"/>
                                          </w:rPr>
                                          <m:t>P</m:t>
                                        </m:r>
                                      </m:sub>
                                    </m:sSub>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C</m:t>
                                        </m:r>
                                      </m:e>
                                      <m:sub>
                                        <m:r>
                                          <w:rPr>
                                            <w:rFonts w:ascii="Cambria Math" w:eastAsia="Cambria Math" w:hAnsi="Cambria Math" w:cstheme="minorBidi"/>
                                            <w:color w:val="000000" w:themeColor="text1"/>
                                            <w:sz w:val="18"/>
                                            <w:szCs w:val="18"/>
                                          </w:rPr>
                                          <m:t>I</m:t>
                                        </m:r>
                                      </m:sub>
                                    </m:sSub>
                                  </m:den>
                                </m:f>
                                <m:r>
                                  <w:rPr>
                                    <w:rFonts w:ascii="Cambria Math" w:eastAsia="Cambria Math" w:hAnsi="Cambria Math" w:cstheme="minorBidi"/>
                                    <w:color w:val="000000" w:themeColor="text1"/>
                                    <w:sz w:val="18"/>
                                    <w:szCs w:val="18"/>
                                  </w:rPr>
                                  <m:t>∙100</m:t>
                                </m:r>
                              </m:oMath>
                            </m:oMathPara>
                          </w:p>
                        </w:txbxContent>
                      </v:textbox>
                    </v:shape>
                  </w:pict>
                </mc:Fallback>
              </mc:AlternateContent>
            </w:r>
          </w:p>
        </w:tc>
      </w:tr>
    </w:tbl>
    <w:p w14:paraId="187A744F" w14:textId="77777777" w:rsidR="00957691" w:rsidRDefault="00957691" w:rsidP="00920FA7">
      <w:pPr>
        <w:pStyle w:val="CETBodytext"/>
      </w:pPr>
    </w:p>
    <w:p w14:paraId="7F737362" w14:textId="694B92A2" w:rsidR="001F625A" w:rsidRDefault="000A7255" w:rsidP="00BA04AD">
      <w:pPr>
        <w:pStyle w:val="CETBodytext"/>
        <w:spacing w:after="120"/>
      </w:pPr>
      <w:r w:rsidRPr="000A7255">
        <w:t>In the case of membrane-based capture, input variables mainly related to the feed stream and operating conditions will be measured, together with the characteristics of the outlet stream compositions. Based on these measured and derived variables, the digital twin will predict the capture efficiency, as summarized in Table 1.</w:t>
      </w:r>
    </w:p>
    <w:p w14:paraId="4BF07796" w14:textId="4D483197" w:rsidR="00575A71" w:rsidRDefault="00DA6304" w:rsidP="00AE372A">
      <w:pPr>
        <w:pStyle w:val="CETBodytext"/>
        <w:spacing w:after="120"/>
      </w:pPr>
      <w:r>
        <w:t>To develop the prediction model for implementation</w:t>
      </w:r>
      <w:r w:rsidR="00BA04AD" w:rsidRPr="00BA04AD">
        <w:t xml:space="preserve"> in the digital twin of the ERCO</w:t>
      </w:r>
      <w:r w:rsidR="00BA04AD" w:rsidRPr="00BA04AD">
        <w:rPr>
          <w:rFonts w:ascii="Cambria Math" w:hAnsi="Cambria Math" w:cs="Cambria Math"/>
        </w:rPr>
        <w:t>₂‑</w:t>
      </w:r>
      <w:r w:rsidR="00BA04AD" w:rsidRPr="00BA04AD">
        <w:t>to</w:t>
      </w:r>
      <w:r w:rsidR="00BA04AD" w:rsidRPr="00BA04AD">
        <w:rPr>
          <w:rFonts w:ascii="Cambria Math" w:hAnsi="Cambria Math" w:cs="Cambria Math"/>
        </w:rPr>
        <w:t>‑</w:t>
      </w:r>
      <w:r w:rsidR="00BA04AD" w:rsidRPr="00BA04AD">
        <w:t>formate</w:t>
      </w:r>
      <w:r w:rsidR="00BA04AD">
        <w:t xml:space="preserve"> pilot </w:t>
      </w:r>
      <w:r w:rsidR="00BA04AD" w:rsidRPr="00BA04AD">
        <w:t>plant, several input variables will be considered. These variables will refer both to the operation of the electrolyzer</w:t>
      </w:r>
      <w:r>
        <w:rPr>
          <w:rFonts w:cs="Arial"/>
        </w:rPr>
        <w:t>,</w:t>
      </w:r>
      <w:r w:rsidR="00FF1E00">
        <w:rPr>
          <w:rFonts w:cs="Arial"/>
        </w:rPr>
        <w:t xml:space="preserve"> </w:t>
      </w:r>
      <w:r w:rsidR="00BA04AD" w:rsidRPr="00BA04AD">
        <w:t xml:space="preserve">such as current </w:t>
      </w:r>
      <w:r w:rsidR="00FF1E00">
        <w:t>intensity</w:t>
      </w:r>
      <w:r w:rsidR="00FF1E00">
        <w:rPr>
          <w:rFonts w:cs="Arial"/>
        </w:rPr>
        <w:t xml:space="preserve">, </w:t>
      </w:r>
      <w:r w:rsidR="00BA04AD" w:rsidRPr="00BA04AD">
        <w:t>and to the system feed conditions, including CO</w:t>
      </w:r>
      <w:r w:rsidR="00BA04AD" w:rsidRPr="00BA04AD">
        <w:rPr>
          <w:rFonts w:ascii="Cambria Math" w:hAnsi="Cambria Math" w:cs="Cambria Math"/>
        </w:rPr>
        <w:t>₂</w:t>
      </w:r>
      <w:r w:rsidR="00BA04AD" w:rsidRPr="00BA04AD">
        <w:t xml:space="preserve"> concentration and inlet flow rate. The output variables will </w:t>
      </w:r>
      <w:r w:rsidR="00FF1E00">
        <w:t>primarily quantify the concentrations of the various gaseous products at the electrolyzer outlet</w:t>
      </w:r>
      <w:r w:rsidR="00BA04AD" w:rsidRPr="00BA04AD">
        <w:t xml:space="preserve">. These measurements </w:t>
      </w:r>
      <w:r w:rsidR="00FF1E00">
        <w:t>are</w:t>
      </w:r>
      <w:r w:rsidR="00BA04AD" w:rsidRPr="00BA04AD">
        <w:t xml:space="preserve"> then used to estimate formate production, </w:t>
      </w:r>
      <w:r w:rsidR="001F4318">
        <w:t>FE</w:t>
      </w:r>
      <w:r w:rsidR="00BA04AD" w:rsidRPr="00BA04AD">
        <w:t xml:space="preserve">, and energy consumption associated with formate generation. Since the formate concentration cannot be measured continuously, it </w:t>
      </w:r>
      <w:r w:rsidR="00A7532A">
        <w:t>is</w:t>
      </w:r>
      <w:r w:rsidR="00BA04AD" w:rsidRPr="00BA04AD">
        <w:t xml:space="preserve"> estimated through</w:t>
      </w:r>
      <w:r w:rsidR="00575A71">
        <w:t xml:space="preserve"> </w:t>
      </w:r>
      <w:r w:rsidR="00BA04AD" w:rsidRPr="00BA04AD">
        <w:t>the variables predicted by the digital twin</w:t>
      </w:r>
      <w:r w:rsidR="00575A71">
        <w:t>, as presented in Table 2.</w:t>
      </w:r>
    </w:p>
    <w:p w14:paraId="568FD78D" w14:textId="77777777" w:rsidR="00E03FA7" w:rsidRDefault="00E03FA7" w:rsidP="00AE372A">
      <w:pPr>
        <w:pStyle w:val="CETBodytext"/>
        <w:spacing w:after="120"/>
      </w:pPr>
    </w:p>
    <w:p w14:paraId="79AB388C" w14:textId="77777777" w:rsidR="00E03FA7" w:rsidRDefault="00E03FA7" w:rsidP="00AE372A">
      <w:pPr>
        <w:pStyle w:val="CETBodytext"/>
        <w:spacing w:after="120"/>
        <w:rPr>
          <w:lang w:val="en-GB"/>
        </w:rPr>
      </w:pPr>
    </w:p>
    <w:p w14:paraId="689EC8D0" w14:textId="77777777" w:rsidR="00B45904" w:rsidRDefault="00B45904" w:rsidP="00AE372A">
      <w:pPr>
        <w:pStyle w:val="CETBodytext"/>
        <w:spacing w:after="120"/>
        <w:rPr>
          <w:lang w:val="en-GB"/>
        </w:rPr>
      </w:pPr>
    </w:p>
    <w:p w14:paraId="2BDA916E" w14:textId="7F4CF1D9" w:rsidR="00B45904" w:rsidRPr="00B45904" w:rsidRDefault="00B45904" w:rsidP="00B45904">
      <w:pPr>
        <w:pStyle w:val="CETCaption"/>
        <w:spacing w:before="120" w:after="0"/>
      </w:pPr>
      <w:r>
        <w:rPr>
          <w:rStyle w:val="CETCaptionCarattere"/>
          <w:i/>
          <w:lang w:val="en-US"/>
        </w:rPr>
        <w:t>Table</w:t>
      </w:r>
      <w:r w:rsidRPr="00BD077D">
        <w:rPr>
          <w:rStyle w:val="CETCaptionCarattere"/>
          <w:i/>
        </w:rPr>
        <w:t xml:space="preserve"> </w:t>
      </w:r>
      <w:r>
        <w:rPr>
          <w:rStyle w:val="CETCaptionCarattere"/>
          <w:i/>
        </w:rPr>
        <w:t>2</w:t>
      </w:r>
      <w:r w:rsidRPr="00BD077D">
        <w:rPr>
          <w:rStyle w:val="CETCaptionCarattere"/>
          <w:i/>
        </w:rPr>
        <w:t xml:space="preserve">: </w:t>
      </w:r>
      <w:r w:rsidR="00B410E7" w:rsidRPr="00B410E7">
        <w:rPr>
          <w:rStyle w:val="CETCaptionCarattere"/>
          <w:i/>
        </w:rPr>
        <w:t xml:space="preserve">Classification of operational variables (input/output) and predicted performance parameters for the </w:t>
      </w:r>
      <w:r w:rsidR="00B410E7">
        <w:rPr>
          <w:rStyle w:val="CETCaptionCarattere"/>
          <w:i/>
        </w:rPr>
        <w:t>ER</w:t>
      </w:r>
      <w:r w:rsidR="00B410E7" w:rsidRPr="00B410E7">
        <w:rPr>
          <w:rStyle w:val="CETCaptionCarattere"/>
          <w:i/>
        </w:rPr>
        <w:t>CO</w:t>
      </w:r>
      <w:r w:rsidR="00B410E7" w:rsidRPr="00B410E7">
        <w:rPr>
          <w:rStyle w:val="CETCaptionCarattere"/>
          <w:i/>
          <w:vertAlign w:val="subscript"/>
        </w:rPr>
        <w:t>2</w:t>
      </w:r>
      <w:r w:rsidR="00B410E7" w:rsidRPr="00B410E7">
        <w:rPr>
          <w:rStyle w:val="CETCaptionCarattere"/>
          <w:i/>
        </w:rPr>
        <w:t xml:space="preserve"> </w:t>
      </w:r>
      <w:r w:rsidR="00B410E7">
        <w:rPr>
          <w:rStyle w:val="CETCaptionCarattere"/>
          <w:i/>
        </w:rPr>
        <w:t xml:space="preserve">to formate </w:t>
      </w:r>
      <w:r w:rsidR="00B410E7" w:rsidRPr="00B410E7">
        <w:rPr>
          <w:rStyle w:val="CETCaptionCarattere"/>
          <w:i/>
        </w:rPr>
        <w:t>digital twin</w:t>
      </w:r>
      <w:r w:rsidR="000735EF">
        <w:rPr>
          <w:rStyle w:val="CETCaptionCarattere"/>
          <w:i/>
        </w:rPr>
        <w:t>.</w:t>
      </w:r>
    </w:p>
    <w:tbl>
      <w:tblPr>
        <w:tblStyle w:val="Tablaconcuadrcula"/>
        <w:tblW w:w="0" w:type="auto"/>
        <w:tblLook w:val="04A0" w:firstRow="1" w:lastRow="0" w:firstColumn="1" w:lastColumn="0" w:noHBand="0" w:noVBand="1"/>
      </w:tblPr>
      <w:tblGrid>
        <w:gridCol w:w="1980"/>
        <w:gridCol w:w="1984"/>
        <w:gridCol w:w="1560"/>
        <w:gridCol w:w="3253"/>
      </w:tblGrid>
      <w:tr w:rsidR="00C92442" w:rsidRPr="00C92442" w14:paraId="4F56763B" w14:textId="77777777" w:rsidTr="00094783">
        <w:trPr>
          <w:trHeight w:val="300"/>
        </w:trPr>
        <w:tc>
          <w:tcPr>
            <w:tcW w:w="8777" w:type="dxa"/>
            <w:gridSpan w:val="4"/>
            <w:shd w:val="clear" w:color="auto" w:fill="C4BC96" w:themeFill="background2" w:themeFillShade="BF"/>
            <w:vAlign w:val="center"/>
            <w:hideMark/>
          </w:tcPr>
          <w:p w14:paraId="66CC86A6" w14:textId="77777777" w:rsidR="00C92442" w:rsidRPr="00E03FA7" w:rsidRDefault="00C92442" w:rsidP="00E03FA7">
            <w:pPr>
              <w:pStyle w:val="CETBodytext"/>
              <w:jc w:val="center"/>
              <w:rPr>
                <w:b/>
                <w:bCs/>
                <w:sz w:val="16"/>
                <w:szCs w:val="18"/>
                <w:lang w:val="es-ES"/>
              </w:rPr>
            </w:pPr>
            <w:r w:rsidRPr="00E03FA7">
              <w:rPr>
                <w:b/>
                <w:bCs/>
                <w:sz w:val="16"/>
                <w:szCs w:val="18"/>
                <w:lang w:val="es-ES"/>
              </w:rPr>
              <w:t>CO</w:t>
            </w:r>
            <w:r w:rsidRPr="00E03FA7">
              <w:rPr>
                <w:b/>
                <w:bCs/>
                <w:sz w:val="16"/>
                <w:szCs w:val="18"/>
                <w:vertAlign w:val="subscript"/>
                <w:lang w:val="es-ES"/>
              </w:rPr>
              <w:t>2</w:t>
            </w:r>
            <w:r w:rsidRPr="00E03FA7">
              <w:rPr>
                <w:b/>
                <w:bCs/>
                <w:sz w:val="16"/>
                <w:szCs w:val="18"/>
                <w:lang w:val="es-ES"/>
              </w:rPr>
              <w:t xml:space="preserve"> Electroreduction</w:t>
            </w:r>
          </w:p>
        </w:tc>
      </w:tr>
      <w:tr w:rsidR="00094783" w:rsidRPr="00C92442" w14:paraId="17046147" w14:textId="77777777" w:rsidTr="00094783">
        <w:trPr>
          <w:trHeight w:val="300"/>
        </w:trPr>
        <w:tc>
          <w:tcPr>
            <w:tcW w:w="1980" w:type="dxa"/>
            <w:vMerge w:val="restart"/>
            <w:shd w:val="clear" w:color="auto" w:fill="DDD9C3" w:themeFill="background2" w:themeFillShade="E6"/>
            <w:vAlign w:val="center"/>
            <w:hideMark/>
          </w:tcPr>
          <w:p w14:paraId="43028CCD" w14:textId="77777777" w:rsidR="00C92442" w:rsidRPr="00E03FA7" w:rsidRDefault="00C92442" w:rsidP="00E03FA7">
            <w:pPr>
              <w:pStyle w:val="CETBodytext"/>
              <w:jc w:val="center"/>
              <w:rPr>
                <w:sz w:val="16"/>
                <w:szCs w:val="18"/>
                <w:lang w:val="es-ES"/>
              </w:rPr>
            </w:pPr>
            <w:r w:rsidRPr="00E03FA7">
              <w:rPr>
                <w:sz w:val="16"/>
                <w:szCs w:val="18"/>
                <w:lang w:val="es-ES"/>
              </w:rPr>
              <w:t>Input Variable</w:t>
            </w:r>
          </w:p>
        </w:tc>
        <w:tc>
          <w:tcPr>
            <w:tcW w:w="1984" w:type="dxa"/>
            <w:vMerge w:val="restart"/>
            <w:shd w:val="clear" w:color="auto" w:fill="DDD9C3" w:themeFill="background2" w:themeFillShade="E6"/>
            <w:vAlign w:val="center"/>
            <w:hideMark/>
          </w:tcPr>
          <w:p w14:paraId="53E0665E" w14:textId="77777777" w:rsidR="00C92442" w:rsidRPr="00E03FA7" w:rsidRDefault="00C92442" w:rsidP="00E03FA7">
            <w:pPr>
              <w:pStyle w:val="CETBodytext"/>
              <w:jc w:val="center"/>
              <w:rPr>
                <w:sz w:val="16"/>
                <w:szCs w:val="18"/>
                <w:lang w:val="es-ES"/>
              </w:rPr>
            </w:pPr>
            <w:r w:rsidRPr="00E03FA7">
              <w:rPr>
                <w:sz w:val="16"/>
                <w:szCs w:val="18"/>
                <w:lang w:val="es-ES"/>
              </w:rPr>
              <w:t>Output Variable</w:t>
            </w:r>
          </w:p>
        </w:tc>
        <w:tc>
          <w:tcPr>
            <w:tcW w:w="4813" w:type="dxa"/>
            <w:gridSpan w:val="2"/>
            <w:shd w:val="clear" w:color="auto" w:fill="DDD9C3" w:themeFill="background2" w:themeFillShade="E6"/>
            <w:vAlign w:val="center"/>
            <w:hideMark/>
          </w:tcPr>
          <w:p w14:paraId="62C41271" w14:textId="77777777" w:rsidR="00C92442" w:rsidRPr="00E03FA7" w:rsidRDefault="00C92442" w:rsidP="00E03FA7">
            <w:pPr>
              <w:pStyle w:val="CETBodytext"/>
              <w:jc w:val="center"/>
              <w:rPr>
                <w:sz w:val="16"/>
                <w:szCs w:val="18"/>
                <w:lang w:val="es-ES"/>
              </w:rPr>
            </w:pPr>
            <w:proofErr w:type="spellStart"/>
            <w:r w:rsidRPr="00E03FA7">
              <w:rPr>
                <w:sz w:val="16"/>
                <w:szCs w:val="18"/>
                <w:lang w:val="es-ES"/>
              </w:rPr>
              <w:t>Predicted</w:t>
            </w:r>
            <w:proofErr w:type="spellEnd"/>
            <w:r w:rsidRPr="00E03FA7">
              <w:rPr>
                <w:sz w:val="16"/>
                <w:szCs w:val="18"/>
                <w:lang w:val="es-ES"/>
              </w:rPr>
              <w:t xml:space="preserve"> variable</w:t>
            </w:r>
          </w:p>
        </w:tc>
      </w:tr>
      <w:tr w:rsidR="009438A6" w:rsidRPr="00C92442" w14:paraId="60E6501E" w14:textId="77777777" w:rsidTr="00094783">
        <w:trPr>
          <w:trHeight w:val="189"/>
        </w:trPr>
        <w:tc>
          <w:tcPr>
            <w:tcW w:w="1980" w:type="dxa"/>
            <w:vMerge/>
            <w:shd w:val="clear" w:color="auto" w:fill="DDD9C3" w:themeFill="background2" w:themeFillShade="E6"/>
            <w:vAlign w:val="center"/>
            <w:hideMark/>
          </w:tcPr>
          <w:p w14:paraId="1E14ADAC" w14:textId="77777777" w:rsidR="00C92442" w:rsidRPr="00E03FA7" w:rsidRDefault="00C92442" w:rsidP="00E03FA7">
            <w:pPr>
              <w:pStyle w:val="CETBodytext"/>
              <w:jc w:val="center"/>
              <w:rPr>
                <w:sz w:val="16"/>
                <w:szCs w:val="18"/>
                <w:lang w:val="es-ES"/>
              </w:rPr>
            </w:pPr>
          </w:p>
        </w:tc>
        <w:tc>
          <w:tcPr>
            <w:tcW w:w="1984" w:type="dxa"/>
            <w:vMerge/>
            <w:shd w:val="clear" w:color="auto" w:fill="DDD9C3" w:themeFill="background2" w:themeFillShade="E6"/>
            <w:vAlign w:val="center"/>
            <w:hideMark/>
          </w:tcPr>
          <w:p w14:paraId="1A5760E6" w14:textId="77777777" w:rsidR="00C92442" w:rsidRPr="00E03FA7" w:rsidRDefault="00C92442" w:rsidP="00E03FA7">
            <w:pPr>
              <w:pStyle w:val="CETBodytext"/>
              <w:jc w:val="center"/>
              <w:rPr>
                <w:sz w:val="16"/>
                <w:szCs w:val="18"/>
                <w:lang w:val="es-ES"/>
              </w:rPr>
            </w:pPr>
          </w:p>
        </w:tc>
        <w:tc>
          <w:tcPr>
            <w:tcW w:w="1560" w:type="dxa"/>
            <w:shd w:val="clear" w:color="auto" w:fill="DDD9C3" w:themeFill="background2" w:themeFillShade="E6"/>
            <w:vAlign w:val="center"/>
            <w:hideMark/>
          </w:tcPr>
          <w:p w14:paraId="252D20FD" w14:textId="77777777" w:rsidR="00C92442" w:rsidRPr="00E03FA7" w:rsidRDefault="00C92442" w:rsidP="00E03FA7">
            <w:pPr>
              <w:pStyle w:val="CETBodytext"/>
              <w:jc w:val="center"/>
              <w:rPr>
                <w:sz w:val="16"/>
                <w:szCs w:val="18"/>
                <w:lang w:val="es-ES"/>
              </w:rPr>
            </w:pPr>
            <w:r w:rsidRPr="00E03FA7">
              <w:rPr>
                <w:sz w:val="16"/>
                <w:szCs w:val="18"/>
                <w:lang w:val="es-ES"/>
              </w:rPr>
              <w:t>Variable</w:t>
            </w:r>
          </w:p>
        </w:tc>
        <w:tc>
          <w:tcPr>
            <w:tcW w:w="3253" w:type="dxa"/>
            <w:shd w:val="clear" w:color="auto" w:fill="DDD9C3" w:themeFill="background2" w:themeFillShade="E6"/>
            <w:vAlign w:val="center"/>
            <w:hideMark/>
          </w:tcPr>
          <w:p w14:paraId="4F573DAF" w14:textId="77777777" w:rsidR="00C92442" w:rsidRPr="00E03FA7" w:rsidRDefault="00C92442" w:rsidP="00E03FA7">
            <w:pPr>
              <w:pStyle w:val="CETBodytext"/>
              <w:jc w:val="center"/>
              <w:rPr>
                <w:sz w:val="16"/>
                <w:szCs w:val="18"/>
                <w:lang w:val="es-ES"/>
              </w:rPr>
            </w:pPr>
            <w:proofErr w:type="spellStart"/>
            <w:r w:rsidRPr="00E03FA7">
              <w:rPr>
                <w:sz w:val="16"/>
                <w:szCs w:val="18"/>
                <w:lang w:val="es-ES"/>
              </w:rPr>
              <w:t>Equation</w:t>
            </w:r>
            <w:proofErr w:type="spellEnd"/>
          </w:p>
        </w:tc>
      </w:tr>
      <w:tr w:rsidR="009438A6" w:rsidRPr="0066324B" w14:paraId="01FA7789" w14:textId="77777777" w:rsidTr="009438A6">
        <w:trPr>
          <w:trHeight w:val="588"/>
        </w:trPr>
        <w:tc>
          <w:tcPr>
            <w:tcW w:w="1980" w:type="dxa"/>
            <w:hideMark/>
          </w:tcPr>
          <w:p w14:paraId="7E9C7E2A" w14:textId="77777777" w:rsidR="00C92442" w:rsidRPr="00E03FA7" w:rsidRDefault="00C92442" w:rsidP="00E03FA7">
            <w:pPr>
              <w:pStyle w:val="CETBodytext"/>
              <w:rPr>
                <w:sz w:val="16"/>
                <w:szCs w:val="18"/>
                <w:lang w:val="es-ES"/>
              </w:rPr>
            </w:pPr>
            <w:proofErr w:type="spellStart"/>
            <w:r w:rsidRPr="00E03FA7">
              <w:rPr>
                <w:sz w:val="16"/>
                <w:szCs w:val="18"/>
                <w:lang w:val="es-ES"/>
              </w:rPr>
              <w:t>Temperature</w:t>
            </w:r>
            <w:proofErr w:type="spellEnd"/>
            <w:r w:rsidRPr="00E03FA7">
              <w:rPr>
                <w:sz w:val="16"/>
                <w:szCs w:val="18"/>
                <w:lang w:val="es-ES"/>
              </w:rPr>
              <w:t>, T (K)</w:t>
            </w:r>
          </w:p>
        </w:tc>
        <w:tc>
          <w:tcPr>
            <w:tcW w:w="1984" w:type="dxa"/>
            <w:hideMark/>
          </w:tcPr>
          <w:p w14:paraId="54A10758" w14:textId="77777777" w:rsidR="00C92442" w:rsidRPr="00E03FA7" w:rsidRDefault="00C92442" w:rsidP="00E03FA7">
            <w:pPr>
              <w:pStyle w:val="CETBodytext"/>
              <w:rPr>
                <w:sz w:val="16"/>
                <w:szCs w:val="18"/>
                <w:lang w:val="es-ES"/>
              </w:rPr>
            </w:pPr>
            <w:r w:rsidRPr="00E03FA7">
              <w:rPr>
                <w:sz w:val="16"/>
                <w:szCs w:val="18"/>
                <w:lang w:val="es-ES"/>
              </w:rPr>
              <w:t xml:space="preserve">Cell </w:t>
            </w:r>
            <w:proofErr w:type="spellStart"/>
            <w:r w:rsidRPr="00E03FA7">
              <w:rPr>
                <w:sz w:val="16"/>
                <w:szCs w:val="18"/>
                <w:lang w:val="es-ES"/>
              </w:rPr>
              <w:t>voltage</w:t>
            </w:r>
            <w:proofErr w:type="spellEnd"/>
            <w:r w:rsidRPr="00E03FA7">
              <w:rPr>
                <w:sz w:val="16"/>
                <w:szCs w:val="18"/>
                <w:lang w:val="es-ES"/>
              </w:rPr>
              <w:t>, V</w:t>
            </w:r>
            <w:r w:rsidRPr="00E03FA7">
              <w:rPr>
                <w:sz w:val="16"/>
                <w:szCs w:val="18"/>
                <w:vertAlign w:val="subscript"/>
                <w:lang w:val="es-ES"/>
              </w:rPr>
              <w:t>CELL</w:t>
            </w:r>
            <w:r w:rsidRPr="00E03FA7">
              <w:rPr>
                <w:sz w:val="16"/>
                <w:szCs w:val="18"/>
                <w:lang w:val="es-ES"/>
              </w:rPr>
              <w:t xml:space="preserve"> (V)</w:t>
            </w:r>
          </w:p>
        </w:tc>
        <w:tc>
          <w:tcPr>
            <w:tcW w:w="1560" w:type="dxa"/>
            <w:hideMark/>
          </w:tcPr>
          <w:p w14:paraId="40A39F00" w14:textId="0C851F37" w:rsidR="00C92442" w:rsidRPr="00E03FA7" w:rsidRDefault="00C92442" w:rsidP="00E03FA7">
            <w:pPr>
              <w:pStyle w:val="CETBodytext"/>
              <w:rPr>
                <w:sz w:val="16"/>
                <w:szCs w:val="18"/>
              </w:rPr>
            </w:pPr>
            <w:r w:rsidRPr="00E03FA7">
              <w:rPr>
                <w:sz w:val="16"/>
                <w:szCs w:val="18"/>
              </w:rPr>
              <w:t>Gas Products</w:t>
            </w:r>
            <w:r w:rsidR="001F4318">
              <w:rPr>
                <w:sz w:val="16"/>
                <w:szCs w:val="18"/>
              </w:rPr>
              <w:t xml:space="preserve"> </w:t>
            </w:r>
            <w:r w:rsidRPr="00E03FA7">
              <w:rPr>
                <w:sz w:val="16"/>
                <w:szCs w:val="18"/>
              </w:rPr>
              <w:t>FE (%)</w:t>
            </w:r>
          </w:p>
        </w:tc>
        <w:tc>
          <w:tcPr>
            <w:tcW w:w="3253" w:type="dxa"/>
            <w:hideMark/>
          </w:tcPr>
          <w:p w14:paraId="60178948" w14:textId="0C93D588" w:rsidR="00C92442" w:rsidRPr="00E03FA7" w:rsidRDefault="00C92442" w:rsidP="00E03FA7">
            <w:pPr>
              <w:pStyle w:val="CETBodytext"/>
              <w:rPr>
                <w:sz w:val="16"/>
                <w:szCs w:val="18"/>
              </w:rPr>
            </w:pPr>
            <w:r w:rsidRPr="00E03FA7">
              <w:rPr>
                <w:noProof/>
                <w:sz w:val="16"/>
                <w:szCs w:val="18"/>
                <w:lang w:val="es-ES"/>
              </w:rPr>
              <mc:AlternateContent>
                <mc:Choice Requires="wps">
                  <w:drawing>
                    <wp:anchor distT="0" distB="0" distL="114300" distR="114300" simplePos="0" relativeHeight="251663360" behindDoc="0" locked="0" layoutInCell="1" allowOverlap="1" wp14:anchorId="7D3F04C3" wp14:editId="1CA85B7C">
                      <wp:simplePos x="0" y="0"/>
                      <wp:positionH relativeFrom="column">
                        <wp:posOffset>38100</wp:posOffset>
                      </wp:positionH>
                      <wp:positionV relativeFrom="paragraph">
                        <wp:posOffset>47625</wp:posOffset>
                      </wp:positionV>
                      <wp:extent cx="2971800" cy="323850"/>
                      <wp:effectExtent l="0" t="0" r="0" b="0"/>
                      <wp:wrapNone/>
                      <wp:docPr id="17" name="Cuadro de texto 17">
                        <a:extLst xmlns:a="http://schemas.openxmlformats.org/drawingml/2006/main">
                          <a:ext uri="{FF2B5EF4-FFF2-40B4-BE49-F238E27FC236}">
                            <a16:creationId xmlns:a16="http://schemas.microsoft.com/office/drawing/2014/main" id="{2323F0FE-0E91-4691-B89B-E7A628C45C92}"/>
                          </a:ext>
                        </a:extLst>
                      </wp:docPr>
                      <wp:cNvGraphicFramePr/>
                      <a:graphic xmlns:a="http://schemas.openxmlformats.org/drawingml/2006/main">
                        <a:graphicData uri="http://schemas.microsoft.com/office/word/2010/wordprocessingShape">
                          <wps:wsp>
                            <wps:cNvSpPr txBox="1"/>
                            <wps:spPr>
                              <a:xfrm>
                                <a:off x="0" y="0"/>
                                <a:ext cx="2971800" cy="32385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4243861" w14:textId="5F9F4D05" w:rsidR="00C92442" w:rsidRPr="00E03FA7" w:rsidRDefault="00C92442" w:rsidP="00C92442">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r>
                                            <w:rPr>
                                              <w:rFonts w:ascii="Cambria Math" w:eastAsia="Cambria Math" w:hAnsi="Cambria Math" w:cstheme="minorBidi"/>
                                              <w:color w:val="000000" w:themeColor="text1"/>
                                              <w:sz w:val="18"/>
                                              <w:szCs w:val="18"/>
                                            </w:rPr>
                                            <m:t>Concentration ∙z∙F∙</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Q</m:t>
                                              </m:r>
                                            </m:e>
                                            <m:sub>
                                              <m:r>
                                                <w:rPr>
                                                  <w:rFonts w:ascii="Cambria Math" w:eastAsia="Cambria Math" w:hAnsi="Cambria Math" w:cstheme="minorBidi"/>
                                                  <w:color w:val="000000" w:themeColor="text1"/>
                                                  <w:sz w:val="18"/>
                                                  <w:szCs w:val="18"/>
                                                </w:rPr>
                                                <m:t>OUT</m:t>
                                              </m:r>
                                            </m:sub>
                                          </m:sSub>
                                          <m:r>
                                            <w:rPr>
                                              <w:rFonts w:ascii="Cambria Math" w:eastAsia="Cambria Math" w:hAnsi="Cambria Math" w:cstheme="minorBidi"/>
                                              <w:color w:val="000000" w:themeColor="text1"/>
                                              <w:sz w:val="18"/>
                                              <w:szCs w:val="18"/>
                                            </w:rPr>
                                            <m:t> ∙100</m:t>
                                          </m:r>
                                        </m:num>
                                        <m:den>
                                          <m:r>
                                            <w:rPr>
                                              <w:rFonts w:ascii="Cambria Math" w:eastAsia="Cambria Math" w:hAnsi="Cambria Math" w:cstheme="minorBidi"/>
                                              <w:color w:val="000000" w:themeColor="text1"/>
                                              <w:sz w:val="18"/>
                                              <w:szCs w:val="18"/>
                                            </w:rPr>
                                            <m:t>I</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D3F04C3" id="Cuadro de texto 17" o:spid="_x0000_s1031" type="#_x0000_t202" style="position:absolute;left:0;text-align:left;margin-left:3pt;margin-top:3.75pt;width:234pt;height:25.5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" filled="f" stroked="f">
                      <v:textbox style="mso-fit-shape-to-text:t" inset="0,0,0,0">
                        <w:txbxContent>
                          <w:p w14:paraId="54243861" w14:textId="5F9F4D05" w:rsidR="00C92442" w:rsidRPr="00E03FA7" w:rsidRDefault="00C92442" w:rsidP="00C92442">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r>
                                      <w:rPr>
                                        <w:rFonts w:ascii="Cambria Math" w:eastAsia="Cambria Math" w:hAnsi="Cambria Math" w:cstheme="minorBidi"/>
                                        <w:color w:val="000000" w:themeColor="text1"/>
                                        <w:sz w:val="18"/>
                                        <w:szCs w:val="18"/>
                                      </w:rPr>
                                      <m:t>Concentration ∙z∙F∙</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Q</m:t>
                                        </m:r>
                                      </m:e>
                                      <m:sub>
                                        <m:r>
                                          <w:rPr>
                                            <w:rFonts w:ascii="Cambria Math" w:eastAsia="Cambria Math" w:hAnsi="Cambria Math" w:cstheme="minorBidi"/>
                                            <w:color w:val="000000" w:themeColor="text1"/>
                                            <w:sz w:val="18"/>
                                            <w:szCs w:val="18"/>
                                          </w:rPr>
                                          <m:t>OUT</m:t>
                                        </m:r>
                                      </m:sub>
                                    </m:sSub>
                                    <m:r>
                                      <w:rPr>
                                        <w:rFonts w:ascii="Cambria Math" w:eastAsia="Cambria Math" w:hAnsi="Cambria Math" w:cstheme="minorBidi"/>
                                        <w:color w:val="000000" w:themeColor="text1"/>
                                        <w:sz w:val="18"/>
                                        <w:szCs w:val="18"/>
                                      </w:rPr>
                                      <m:t> ∙100</m:t>
                                    </m:r>
                                  </m:num>
                                  <m:den>
                                    <m:r>
                                      <w:rPr>
                                        <w:rFonts w:ascii="Cambria Math" w:eastAsia="Cambria Math" w:hAnsi="Cambria Math" w:cstheme="minorBidi"/>
                                        <w:color w:val="000000" w:themeColor="text1"/>
                                        <w:sz w:val="18"/>
                                        <w:szCs w:val="18"/>
                                      </w:rPr>
                                      <m:t>I</m:t>
                                    </m:r>
                                  </m:den>
                                </m:f>
                              </m:oMath>
                            </m:oMathPara>
                          </w:p>
                        </w:txbxContent>
                      </v:textbox>
                    </v:shape>
                  </w:pict>
                </mc:Fallback>
              </mc:AlternateContent>
            </w:r>
          </w:p>
        </w:tc>
      </w:tr>
      <w:tr w:rsidR="009438A6" w:rsidRPr="00C92442" w14:paraId="46EDF09F" w14:textId="77777777" w:rsidTr="009438A6">
        <w:trPr>
          <w:trHeight w:val="526"/>
        </w:trPr>
        <w:tc>
          <w:tcPr>
            <w:tcW w:w="1980" w:type="dxa"/>
            <w:hideMark/>
          </w:tcPr>
          <w:p w14:paraId="00C87739" w14:textId="36689729" w:rsidR="00C92442" w:rsidRPr="00E03FA7" w:rsidRDefault="00C92442" w:rsidP="00E03FA7">
            <w:pPr>
              <w:pStyle w:val="CETBodytext"/>
              <w:rPr>
                <w:sz w:val="16"/>
                <w:szCs w:val="18"/>
              </w:rPr>
            </w:pPr>
            <w:r w:rsidRPr="00E03FA7">
              <w:rPr>
                <w:sz w:val="16"/>
                <w:szCs w:val="18"/>
              </w:rPr>
              <w:t xml:space="preserve">Inlet gas </w:t>
            </w:r>
            <w:r w:rsidR="009A0764">
              <w:rPr>
                <w:sz w:val="16"/>
                <w:szCs w:val="18"/>
              </w:rPr>
              <w:t>flowrate</w:t>
            </w:r>
            <w:r w:rsidRPr="00E03FA7">
              <w:rPr>
                <w:sz w:val="16"/>
                <w:szCs w:val="18"/>
              </w:rPr>
              <w:t>, Q</w:t>
            </w:r>
            <w:r w:rsidRPr="00E03FA7">
              <w:rPr>
                <w:sz w:val="16"/>
                <w:szCs w:val="18"/>
                <w:vertAlign w:val="subscript"/>
              </w:rPr>
              <w:t>IN</w:t>
            </w:r>
            <w:r w:rsidRPr="00E03FA7">
              <w:rPr>
                <w:sz w:val="16"/>
                <w:szCs w:val="18"/>
              </w:rPr>
              <w:t xml:space="preserve"> (L min</w:t>
            </w:r>
            <w:r w:rsidRPr="00E03FA7">
              <w:rPr>
                <w:sz w:val="16"/>
                <w:szCs w:val="18"/>
                <w:vertAlign w:val="superscript"/>
              </w:rPr>
              <w:t>-1</w:t>
            </w:r>
            <w:r w:rsidRPr="00E03FA7">
              <w:rPr>
                <w:sz w:val="16"/>
                <w:szCs w:val="18"/>
              </w:rPr>
              <w:t>)</w:t>
            </w:r>
          </w:p>
        </w:tc>
        <w:tc>
          <w:tcPr>
            <w:tcW w:w="1984" w:type="dxa"/>
            <w:hideMark/>
          </w:tcPr>
          <w:p w14:paraId="25927EE2" w14:textId="77777777" w:rsidR="00C92442" w:rsidRPr="00E03FA7" w:rsidRDefault="00C92442" w:rsidP="00E03FA7">
            <w:pPr>
              <w:pStyle w:val="CETBodytext"/>
              <w:rPr>
                <w:sz w:val="16"/>
                <w:szCs w:val="18"/>
              </w:rPr>
            </w:pPr>
            <w:r w:rsidRPr="00E03FA7">
              <w:rPr>
                <w:sz w:val="16"/>
                <w:szCs w:val="18"/>
              </w:rPr>
              <w:t>Outlet gas flowrate, Q</w:t>
            </w:r>
            <w:r w:rsidRPr="00E03FA7">
              <w:rPr>
                <w:sz w:val="16"/>
                <w:szCs w:val="18"/>
                <w:vertAlign w:val="subscript"/>
              </w:rPr>
              <w:t>OUT</w:t>
            </w:r>
            <w:r w:rsidRPr="00E03FA7">
              <w:rPr>
                <w:sz w:val="16"/>
                <w:szCs w:val="18"/>
              </w:rPr>
              <w:t xml:space="preserve"> (L min</w:t>
            </w:r>
            <w:r w:rsidRPr="00E03FA7">
              <w:rPr>
                <w:sz w:val="16"/>
                <w:szCs w:val="18"/>
                <w:vertAlign w:val="superscript"/>
              </w:rPr>
              <w:t>-1</w:t>
            </w:r>
            <w:r w:rsidRPr="00E03FA7">
              <w:rPr>
                <w:sz w:val="16"/>
                <w:szCs w:val="18"/>
              </w:rPr>
              <w:t>)</w:t>
            </w:r>
          </w:p>
        </w:tc>
        <w:tc>
          <w:tcPr>
            <w:tcW w:w="1560" w:type="dxa"/>
            <w:hideMark/>
          </w:tcPr>
          <w:p w14:paraId="001A5EEB" w14:textId="77777777" w:rsidR="00C92442" w:rsidRPr="00E03FA7" w:rsidRDefault="00C92442" w:rsidP="00E03FA7">
            <w:pPr>
              <w:pStyle w:val="CETBodytext"/>
              <w:rPr>
                <w:sz w:val="16"/>
                <w:szCs w:val="18"/>
                <w:lang w:val="es-ES"/>
              </w:rPr>
            </w:pPr>
            <w:r w:rsidRPr="00E03FA7">
              <w:rPr>
                <w:sz w:val="16"/>
                <w:szCs w:val="18"/>
                <w:lang w:val="es-ES"/>
              </w:rPr>
              <w:t>Formate FE (%)</w:t>
            </w:r>
          </w:p>
        </w:tc>
        <w:tc>
          <w:tcPr>
            <w:tcW w:w="3253" w:type="dxa"/>
            <w:hideMark/>
          </w:tcPr>
          <w:p w14:paraId="0EB81442" w14:textId="38382960" w:rsidR="00C92442" w:rsidRPr="00E03FA7" w:rsidRDefault="00C92442" w:rsidP="00E03FA7">
            <w:pPr>
              <w:pStyle w:val="CETBodytext"/>
              <w:rPr>
                <w:sz w:val="16"/>
                <w:szCs w:val="18"/>
                <w:lang w:val="es-ES"/>
              </w:rPr>
            </w:pPr>
            <w:r w:rsidRPr="00E03FA7">
              <w:rPr>
                <w:noProof/>
                <w:sz w:val="16"/>
                <w:szCs w:val="18"/>
                <w:lang w:val="es-ES"/>
              </w:rPr>
              <mc:AlternateContent>
                <mc:Choice Requires="wps">
                  <w:drawing>
                    <wp:anchor distT="0" distB="0" distL="114300" distR="114300" simplePos="0" relativeHeight="251664384" behindDoc="0" locked="0" layoutInCell="1" allowOverlap="1" wp14:anchorId="75A6A433" wp14:editId="01CA6E9B">
                      <wp:simplePos x="0" y="0"/>
                      <wp:positionH relativeFrom="column">
                        <wp:posOffset>447675</wp:posOffset>
                      </wp:positionH>
                      <wp:positionV relativeFrom="paragraph">
                        <wp:posOffset>28575</wp:posOffset>
                      </wp:positionV>
                      <wp:extent cx="1390650" cy="180975"/>
                      <wp:effectExtent l="0" t="0" r="0" b="0"/>
                      <wp:wrapNone/>
                      <wp:docPr id="16" name="Cuadro de texto 16">
                        <a:extLst xmlns:a="http://schemas.openxmlformats.org/drawingml/2006/main">
                          <a:ext uri="{FF2B5EF4-FFF2-40B4-BE49-F238E27FC236}">
                            <a16:creationId xmlns:a16="http://schemas.microsoft.com/office/drawing/2014/main" id="{BFFB8C00-6265-4377-A14F-52516EEFF41B}"/>
                          </a:ext>
                        </a:extLst>
                      </wp:docPr>
                      <wp:cNvGraphicFramePr/>
                      <a:graphic xmlns:a="http://schemas.openxmlformats.org/drawingml/2006/main">
                        <a:graphicData uri="http://schemas.microsoft.com/office/word/2010/wordprocessingShape">
                          <wps:wsp>
                            <wps:cNvSpPr txBox="1"/>
                            <wps:spPr>
                              <a:xfrm>
                                <a:off x="0" y="0"/>
                                <a:ext cx="1390650" cy="18097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0B41937" w14:textId="77777777" w:rsidR="00C92442" w:rsidRPr="00E03FA7" w:rsidRDefault="00C92442" w:rsidP="00C92442">
                                  <w:pPr>
                                    <w:rPr>
                                      <w:rFonts w:ascii="Cambria Math" w:eastAsia="Cambria Math" w:hAnsi="Cambria Math" w:cstheme="minorBidi"/>
                                      <w:i/>
                                      <w:iCs/>
                                      <w:color w:val="000000" w:themeColor="text1"/>
                                      <w:sz w:val="16"/>
                                      <w:szCs w:val="16"/>
                                    </w:rPr>
                                  </w:pPr>
                                  <m:oMathPara>
                                    <m:oMathParaPr>
                                      <m:jc m:val="centerGroup"/>
                                    </m:oMathParaPr>
                                    <m:oMath>
                                      <m:r>
                                        <w:rPr>
                                          <w:rFonts w:ascii="Cambria Math" w:eastAsia="Cambria Math" w:hAnsi="Cambria Math" w:cstheme="minorBidi"/>
                                          <w:color w:val="000000" w:themeColor="text1"/>
                                          <w:sz w:val="18"/>
                                          <w:szCs w:val="18"/>
                                        </w:rPr>
                                        <m:t>=100- </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FE</m:t>
                                          </m:r>
                                        </m:e>
                                        <m:sub>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H</m:t>
                                              </m:r>
                                            </m:e>
                                            <m:sub>
                                              <m:r>
                                                <w:rPr>
                                                  <w:rFonts w:ascii="Cambria Math" w:eastAsia="Cambria Math" w:hAnsi="Cambria Math" w:cstheme="minorBidi"/>
                                                  <w:color w:val="000000" w:themeColor="text1"/>
                                                  <w:sz w:val="18"/>
                                                  <w:szCs w:val="18"/>
                                                </w:rPr>
                                                <m:t>2</m:t>
                                              </m:r>
                                            </m:sub>
                                          </m:sSub>
                                        </m:sub>
                                      </m:sSub>
                                      <m:r>
                                        <w:rPr>
                                          <w:rFonts w:ascii="Cambria Math" w:eastAsia="Cambria Math" w:hAnsi="Cambria Math" w:cstheme="minorBidi"/>
                                          <w:color w:val="000000" w:themeColor="text1"/>
                                          <w:sz w:val="18"/>
                                          <w:szCs w:val="18"/>
                                        </w:rPr>
                                        <m:t>-</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FE</m:t>
                                          </m:r>
                                        </m:e>
                                        <m:sub>
                                          <m:r>
                                            <w:rPr>
                                              <w:rFonts w:ascii="Cambria Math" w:eastAsia="Cambria Math" w:hAnsi="Cambria Math" w:cstheme="minorBidi"/>
                                              <w:color w:val="000000" w:themeColor="text1"/>
                                              <w:sz w:val="18"/>
                                              <w:szCs w:val="18"/>
                                            </w:rPr>
                                            <m:t>CO</m:t>
                                          </m:r>
                                        </m:sub>
                                      </m:sSub>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5A6A433" id="Cuadro de texto 16" o:spid="_x0000_s1032" type="#_x0000_t202" style="position:absolute;left:0;text-align:left;margin-left:35.25pt;margin-top:2.25pt;width:109.5pt;height:14.25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" filled="f" stroked="f">
                      <v:textbox style="mso-fit-shape-to-text:t" inset="0,0,0,0">
                        <w:txbxContent>
                          <w:p w14:paraId="20B41937" w14:textId="77777777" w:rsidR="00C92442" w:rsidRPr="00E03FA7" w:rsidRDefault="00C92442" w:rsidP="00C92442">
                            <w:pPr>
                              <w:rPr>
                                <w:rFonts w:ascii="Cambria Math" w:eastAsia="Cambria Math" w:hAnsi="Cambria Math" w:cstheme="minorBidi"/>
                                <w:i/>
                                <w:iCs/>
                                <w:color w:val="000000" w:themeColor="text1"/>
                                <w:sz w:val="16"/>
                                <w:szCs w:val="16"/>
                              </w:rPr>
                            </w:pPr>
                            <m:oMathPara>
                              <m:oMathParaPr>
                                <m:jc m:val="centerGroup"/>
                              </m:oMathParaPr>
                              <m:oMath>
                                <m:r>
                                  <w:rPr>
                                    <w:rFonts w:ascii="Cambria Math" w:eastAsia="Cambria Math" w:hAnsi="Cambria Math" w:cstheme="minorBidi"/>
                                    <w:color w:val="000000" w:themeColor="text1"/>
                                    <w:sz w:val="18"/>
                                    <w:szCs w:val="18"/>
                                  </w:rPr>
                                  <m:t>=100- </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FE</m:t>
                                    </m:r>
                                  </m:e>
                                  <m:sub>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H</m:t>
                                        </m:r>
                                      </m:e>
                                      <m:sub>
                                        <m:r>
                                          <w:rPr>
                                            <w:rFonts w:ascii="Cambria Math" w:eastAsia="Cambria Math" w:hAnsi="Cambria Math" w:cstheme="minorBidi"/>
                                            <w:color w:val="000000" w:themeColor="text1"/>
                                            <w:sz w:val="18"/>
                                            <w:szCs w:val="18"/>
                                          </w:rPr>
                                          <m:t>2</m:t>
                                        </m:r>
                                      </m:sub>
                                    </m:sSub>
                                  </m:sub>
                                </m:sSub>
                                <m:r>
                                  <w:rPr>
                                    <w:rFonts w:ascii="Cambria Math" w:eastAsia="Cambria Math" w:hAnsi="Cambria Math" w:cstheme="minorBidi"/>
                                    <w:color w:val="000000" w:themeColor="text1"/>
                                    <w:sz w:val="18"/>
                                    <w:szCs w:val="18"/>
                                  </w:rPr>
                                  <m:t>-</m:t>
                                </m:r>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FE</m:t>
                                    </m:r>
                                  </m:e>
                                  <m:sub>
                                    <m:r>
                                      <w:rPr>
                                        <w:rFonts w:ascii="Cambria Math" w:eastAsia="Cambria Math" w:hAnsi="Cambria Math" w:cstheme="minorBidi"/>
                                        <w:color w:val="000000" w:themeColor="text1"/>
                                        <w:sz w:val="18"/>
                                        <w:szCs w:val="18"/>
                                      </w:rPr>
                                      <m:t>CO</m:t>
                                    </m:r>
                                  </m:sub>
                                </m:sSub>
                              </m:oMath>
                            </m:oMathPara>
                          </w:p>
                        </w:txbxContent>
                      </v:textbox>
                    </v:shape>
                  </w:pict>
                </mc:Fallback>
              </mc:AlternateContent>
            </w:r>
          </w:p>
        </w:tc>
      </w:tr>
      <w:tr w:rsidR="009438A6" w:rsidRPr="00C92442" w14:paraId="4C90616B" w14:textId="77777777" w:rsidTr="009438A6">
        <w:trPr>
          <w:trHeight w:val="687"/>
        </w:trPr>
        <w:tc>
          <w:tcPr>
            <w:tcW w:w="1980" w:type="dxa"/>
            <w:hideMark/>
          </w:tcPr>
          <w:p w14:paraId="3134DCA6" w14:textId="77777777" w:rsidR="00C92442" w:rsidRPr="00E03FA7" w:rsidRDefault="00C92442" w:rsidP="00E03FA7">
            <w:pPr>
              <w:pStyle w:val="CETBodytext"/>
              <w:rPr>
                <w:sz w:val="16"/>
                <w:szCs w:val="18"/>
              </w:rPr>
            </w:pPr>
            <w:r w:rsidRPr="00E03FA7">
              <w:rPr>
                <w:sz w:val="16"/>
                <w:szCs w:val="18"/>
              </w:rPr>
              <w:t>Pressure before the cell, P</w:t>
            </w:r>
            <w:r w:rsidRPr="00E03FA7">
              <w:rPr>
                <w:sz w:val="16"/>
                <w:szCs w:val="18"/>
                <w:vertAlign w:val="subscript"/>
              </w:rPr>
              <w:t>1</w:t>
            </w:r>
            <w:r w:rsidRPr="00E03FA7">
              <w:rPr>
                <w:sz w:val="16"/>
                <w:szCs w:val="18"/>
              </w:rPr>
              <w:t xml:space="preserve"> (bar)</w:t>
            </w:r>
          </w:p>
        </w:tc>
        <w:tc>
          <w:tcPr>
            <w:tcW w:w="1984" w:type="dxa"/>
            <w:hideMark/>
          </w:tcPr>
          <w:p w14:paraId="5401883F" w14:textId="77777777" w:rsidR="00C92442" w:rsidRPr="00E03FA7" w:rsidRDefault="00C92442" w:rsidP="00E03FA7">
            <w:pPr>
              <w:pStyle w:val="CETBodytext"/>
              <w:rPr>
                <w:sz w:val="16"/>
                <w:szCs w:val="18"/>
              </w:rPr>
            </w:pPr>
            <w:r w:rsidRPr="00E03FA7">
              <w:rPr>
                <w:sz w:val="16"/>
                <w:szCs w:val="18"/>
              </w:rPr>
              <w:t>Pressure after the cell, P</w:t>
            </w:r>
            <w:r w:rsidRPr="00E03FA7">
              <w:rPr>
                <w:sz w:val="16"/>
                <w:szCs w:val="18"/>
                <w:vertAlign w:val="subscript"/>
              </w:rPr>
              <w:t>2</w:t>
            </w:r>
            <w:r w:rsidRPr="00E03FA7">
              <w:rPr>
                <w:sz w:val="16"/>
                <w:szCs w:val="18"/>
              </w:rPr>
              <w:t xml:space="preserve"> (bar)</w:t>
            </w:r>
          </w:p>
        </w:tc>
        <w:tc>
          <w:tcPr>
            <w:tcW w:w="1560" w:type="dxa"/>
            <w:hideMark/>
          </w:tcPr>
          <w:p w14:paraId="59D4BEB7" w14:textId="77777777" w:rsidR="00C92442" w:rsidRPr="00E03FA7" w:rsidRDefault="00C92442" w:rsidP="00E03FA7">
            <w:pPr>
              <w:pStyle w:val="CETBodytext"/>
              <w:rPr>
                <w:sz w:val="16"/>
                <w:szCs w:val="18"/>
                <w:lang w:val="es-ES"/>
              </w:rPr>
            </w:pPr>
            <w:r w:rsidRPr="00E03FA7">
              <w:rPr>
                <w:sz w:val="16"/>
                <w:szCs w:val="18"/>
                <w:lang w:val="es-ES"/>
              </w:rPr>
              <w:t xml:space="preserve">Formate production, </w:t>
            </w:r>
            <w:proofErr w:type="spellStart"/>
            <w:r w:rsidRPr="00E03FA7">
              <w:rPr>
                <w:sz w:val="16"/>
                <w:szCs w:val="18"/>
                <w:lang w:val="es-ES"/>
              </w:rPr>
              <w:t>Formate</w:t>
            </w:r>
            <w:r w:rsidRPr="00E03FA7">
              <w:rPr>
                <w:sz w:val="16"/>
                <w:szCs w:val="18"/>
                <w:vertAlign w:val="subscript"/>
                <w:lang w:val="es-ES"/>
              </w:rPr>
              <w:t>P</w:t>
            </w:r>
            <w:proofErr w:type="spellEnd"/>
            <w:r w:rsidRPr="00E03FA7">
              <w:rPr>
                <w:sz w:val="16"/>
                <w:szCs w:val="18"/>
                <w:lang w:val="es-ES"/>
              </w:rPr>
              <w:t xml:space="preserve"> (mol)</w:t>
            </w:r>
          </w:p>
        </w:tc>
        <w:tc>
          <w:tcPr>
            <w:tcW w:w="3253" w:type="dxa"/>
            <w:hideMark/>
          </w:tcPr>
          <w:p w14:paraId="51A5468D" w14:textId="54A77868" w:rsidR="00C92442" w:rsidRPr="00E03FA7" w:rsidRDefault="00C92442" w:rsidP="00E03FA7">
            <w:pPr>
              <w:pStyle w:val="CETBodytext"/>
              <w:rPr>
                <w:sz w:val="16"/>
                <w:szCs w:val="18"/>
                <w:lang w:val="es-ES"/>
              </w:rPr>
            </w:pPr>
            <w:r w:rsidRPr="00E03FA7">
              <w:rPr>
                <w:noProof/>
                <w:sz w:val="16"/>
                <w:szCs w:val="18"/>
                <w:lang w:val="es-ES"/>
              </w:rPr>
              <mc:AlternateContent>
                <mc:Choice Requires="wps">
                  <w:drawing>
                    <wp:anchor distT="0" distB="0" distL="114300" distR="114300" simplePos="0" relativeHeight="251665408" behindDoc="0" locked="0" layoutInCell="1" allowOverlap="1" wp14:anchorId="14F62002" wp14:editId="4E01D985">
                      <wp:simplePos x="0" y="0"/>
                      <wp:positionH relativeFrom="column">
                        <wp:posOffset>638175</wp:posOffset>
                      </wp:positionH>
                      <wp:positionV relativeFrom="paragraph">
                        <wp:posOffset>57150</wp:posOffset>
                      </wp:positionV>
                      <wp:extent cx="952500" cy="323850"/>
                      <wp:effectExtent l="0" t="0" r="0" b="0"/>
                      <wp:wrapNone/>
                      <wp:docPr id="15" name="Cuadro de texto 15">
                        <a:extLst xmlns:a="http://schemas.openxmlformats.org/drawingml/2006/main">
                          <a:ext uri="{FF2B5EF4-FFF2-40B4-BE49-F238E27FC236}">
                            <a16:creationId xmlns:a16="http://schemas.microsoft.com/office/drawing/2014/main" id="{A52F9C49-E7D1-4545-9ABF-86897B9E2C94}"/>
                          </a:ext>
                        </a:extLst>
                      </wp:docPr>
                      <wp:cNvGraphicFramePr/>
                      <a:graphic xmlns:a="http://schemas.openxmlformats.org/drawingml/2006/main">
                        <a:graphicData uri="http://schemas.microsoft.com/office/word/2010/wordprocessingShape">
                          <wps:wsp>
                            <wps:cNvSpPr txBox="1"/>
                            <wps:spPr>
                              <a:xfrm>
                                <a:off x="0" y="0"/>
                                <a:ext cx="952500" cy="32385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76B9106" w14:textId="77777777" w:rsidR="00C92442" w:rsidRPr="008E44AA" w:rsidRDefault="00C92442" w:rsidP="00C92442">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FE</m:t>
                                              </m:r>
                                            </m:e>
                                            <m:sub>
                                              <m:r>
                                                <w:rPr>
                                                  <w:rFonts w:ascii="Cambria Math" w:eastAsia="Cambria Math" w:hAnsi="Cambria Math" w:cstheme="minorBidi"/>
                                                  <w:color w:val="000000" w:themeColor="text1"/>
                                                  <w:sz w:val="18"/>
                                                  <w:szCs w:val="18"/>
                                                </w:rPr>
                                                <m:t>Formate</m:t>
                                              </m:r>
                                            </m:sub>
                                          </m:sSub>
                                          <m:r>
                                            <w:rPr>
                                              <w:rFonts w:ascii="Cambria Math" w:eastAsia="Cambria Math" w:hAnsi="Cambria Math" w:cstheme="minorBidi"/>
                                              <w:color w:val="000000" w:themeColor="text1"/>
                                              <w:sz w:val="18"/>
                                              <w:szCs w:val="18"/>
                                            </w:rPr>
                                            <m:t>∙I</m:t>
                                          </m:r>
                                        </m:num>
                                        <m:den>
                                          <m:r>
                                            <w:rPr>
                                              <w:rFonts w:ascii="Cambria Math" w:eastAsia="Cambria Math" w:hAnsi="Cambria Math" w:cstheme="minorBidi"/>
                                              <w:color w:val="000000" w:themeColor="text1"/>
                                              <w:sz w:val="18"/>
                                              <w:szCs w:val="18"/>
                                            </w:rPr>
                                            <m:t>z∙F∙100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4F62002" id="Cuadro de texto 15" o:spid="_x0000_s1033" type="#_x0000_t202" style="position:absolute;left:0;text-align:left;margin-left:50.25pt;margin-top:4.5pt;width:75pt;height:25.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" filled="f" stroked="f">
                      <v:textbox style="mso-fit-shape-to-text:t" inset="0,0,0,0">
                        <w:txbxContent>
                          <w:p w14:paraId="576B9106" w14:textId="77777777" w:rsidR="00C92442" w:rsidRPr="008E44AA" w:rsidRDefault="00C92442" w:rsidP="00C92442">
                            <w:pPr>
                              <w:rPr>
                                <w:rFonts w:ascii="Cambria Math" w:eastAsia="Cambria Math" w:hAnsi="Cambria Math" w:cstheme="minorBidi"/>
                                <w:i/>
                                <w:iCs/>
                                <w:color w:val="000000" w:themeColor="text1"/>
                                <w:sz w:val="18"/>
                                <w:szCs w:val="18"/>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FE</m:t>
                                        </m:r>
                                      </m:e>
                                      <m:sub>
                                        <m:r>
                                          <w:rPr>
                                            <w:rFonts w:ascii="Cambria Math" w:eastAsia="Cambria Math" w:hAnsi="Cambria Math" w:cstheme="minorBidi"/>
                                            <w:color w:val="000000" w:themeColor="text1"/>
                                            <w:sz w:val="18"/>
                                            <w:szCs w:val="18"/>
                                          </w:rPr>
                                          <m:t>Formate</m:t>
                                        </m:r>
                                      </m:sub>
                                    </m:sSub>
                                    <m:r>
                                      <w:rPr>
                                        <w:rFonts w:ascii="Cambria Math" w:eastAsia="Cambria Math" w:hAnsi="Cambria Math" w:cstheme="minorBidi"/>
                                        <w:color w:val="000000" w:themeColor="text1"/>
                                        <w:sz w:val="18"/>
                                        <w:szCs w:val="18"/>
                                      </w:rPr>
                                      <m:t>∙I</m:t>
                                    </m:r>
                                  </m:num>
                                  <m:den>
                                    <m:r>
                                      <w:rPr>
                                        <w:rFonts w:ascii="Cambria Math" w:eastAsia="Cambria Math" w:hAnsi="Cambria Math" w:cstheme="minorBidi"/>
                                        <w:color w:val="000000" w:themeColor="text1"/>
                                        <w:sz w:val="18"/>
                                        <w:szCs w:val="18"/>
                                      </w:rPr>
                                      <m:t>z∙F∙100</m:t>
                                    </m:r>
                                  </m:den>
                                </m:f>
                              </m:oMath>
                            </m:oMathPara>
                          </w:p>
                        </w:txbxContent>
                      </v:textbox>
                    </v:shape>
                  </w:pict>
                </mc:Fallback>
              </mc:AlternateContent>
            </w:r>
          </w:p>
        </w:tc>
      </w:tr>
      <w:tr w:rsidR="009438A6" w:rsidRPr="00803CEA" w14:paraId="6C56505C" w14:textId="77777777" w:rsidTr="009438A6">
        <w:trPr>
          <w:trHeight w:val="713"/>
        </w:trPr>
        <w:tc>
          <w:tcPr>
            <w:tcW w:w="1980" w:type="dxa"/>
            <w:hideMark/>
          </w:tcPr>
          <w:p w14:paraId="59F629AD" w14:textId="4CFF1131" w:rsidR="00C92442" w:rsidRPr="00E03FA7" w:rsidRDefault="00C92442" w:rsidP="00E03FA7">
            <w:pPr>
              <w:pStyle w:val="CETBodytext"/>
              <w:rPr>
                <w:sz w:val="16"/>
                <w:szCs w:val="18"/>
                <w:lang w:val="es-ES"/>
              </w:rPr>
            </w:pPr>
            <w:r w:rsidRPr="00E03FA7">
              <w:rPr>
                <w:sz w:val="16"/>
                <w:szCs w:val="18"/>
                <w:lang w:val="es-ES"/>
              </w:rPr>
              <w:t xml:space="preserve">Current </w:t>
            </w:r>
            <w:proofErr w:type="spellStart"/>
            <w:r w:rsidR="000735EF">
              <w:rPr>
                <w:sz w:val="16"/>
                <w:szCs w:val="18"/>
                <w:lang w:val="es-ES"/>
              </w:rPr>
              <w:t>i</w:t>
            </w:r>
            <w:r w:rsidRPr="00E03FA7">
              <w:rPr>
                <w:sz w:val="16"/>
                <w:szCs w:val="18"/>
                <w:lang w:val="es-ES"/>
              </w:rPr>
              <w:t>ntensity</w:t>
            </w:r>
            <w:proofErr w:type="spellEnd"/>
            <w:r w:rsidRPr="00E03FA7">
              <w:rPr>
                <w:sz w:val="16"/>
                <w:szCs w:val="18"/>
                <w:lang w:val="es-ES"/>
              </w:rPr>
              <w:t>, I (A)</w:t>
            </w:r>
          </w:p>
        </w:tc>
        <w:tc>
          <w:tcPr>
            <w:tcW w:w="1984" w:type="dxa"/>
            <w:hideMark/>
          </w:tcPr>
          <w:p w14:paraId="53A9A996" w14:textId="77777777" w:rsidR="00C92442" w:rsidRPr="00E03FA7" w:rsidRDefault="00C92442" w:rsidP="00E03FA7">
            <w:pPr>
              <w:pStyle w:val="CETBodytext"/>
              <w:rPr>
                <w:sz w:val="16"/>
                <w:szCs w:val="18"/>
                <w:lang w:val="es-ES"/>
              </w:rPr>
            </w:pPr>
            <w:r w:rsidRPr="00E03FA7">
              <w:rPr>
                <w:sz w:val="16"/>
                <w:szCs w:val="18"/>
                <w:lang w:val="es-ES"/>
              </w:rPr>
              <w:t>Outlet CO</w:t>
            </w:r>
            <w:r w:rsidRPr="00E03FA7">
              <w:rPr>
                <w:sz w:val="16"/>
                <w:szCs w:val="18"/>
                <w:vertAlign w:val="subscript"/>
                <w:lang w:val="es-ES"/>
              </w:rPr>
              <w:t>2</w:t>
            </w:r>
            <w:r w:rsidRPr="00E03FA7">
              <w:rPr>
                <w:sz w:val="16"/>
                <w:szCs w:val="18"/>
                <w:lang w:val="es-ES"/>
              </w:rPr>
              <w:t xml:space="preserve"> concentration, CO</w:t>
            </w:r>
            <w:r w:rsidRPr="00E03FA7">
              <w:rPr>
                <w:sz w:val="16"/>
                <w:szCs w:val="18"/>
                <w:vertAlign w:val="subscript"/>
                <w:lang w:val="es-ES"/>
              </w:rPr>
              <w:t>2OUT</w:t>
            </w:r>
            <w:r w:rsidRPr="00E03FA7">
              <w:rPr>
                <w:sz w:val="16"/>
                <w:szCs w:val="18"/>
                <w:lang w:val="es-ES"/>
              </w:rPr>
              <w:t xml:space="preserve"> (%)</w:t>
            </w:r>
          </w:p>
        </w:tc>
        <w:tc>
          <w:tcPr>
            <w:tcW w:w="1560" w:type="dxa"/>
            <w:hideMark/>
          </w:tcPr>
          <w:p w14:paraId="2EDBD43B" w14:textId="77777777" w:rsidR="00C92442" w:rsidRPr="00E03FA7" w:rsidRDefault="00C92442" w:rsidP="00E03FA7">
            <w:pPr>
              <w:pStyle w:val="CETBodytext"/>
              <w:rPr>
                <w:sz w:val="16"/>
                <w:szCs w:val="18"/>
              </w:rPr>
            </w:pPr>
            <w:r w:rsidRPr="00E03FA7">
              <w:rPr>
                <w:sz w:val="16"/>
                <w:szCs w:val="18"/>
              </w:rPr>
              <w:t>Energy Consumption, EC (kWh kmol</w:t>
            </w:r>
            <w:r w:rsidRPr="00E03FA7">
              <w:rPr>
                <w:sz w:val="16"/>
                <w:szCs w:val="18"/>
                <w:vertAlign w:val="superscript"/>
              </w:rPr>
              <w:t>-1</w:t>
            </w:r>
            <w:r w:rsidRPr="00E03FA7">
              <w:rPr>
                <w:sz w:val="16"/>
                <w:szCs w:val="18"/>
              </w:rPr>
              <w:t>)</w:t>
            </w:r>
          </w:p>
        </w:tc>
        <w:tc>
          <w:tcPr>
            <w:tcW w:w="3253" w:type="dxa"/>
            <w:hideMark/>
          </w:tcPr>
          <w:p w14:paraId="4269B51F" w14:textId="02F0145D" w:rsidR="00C92442" w:rsidRPr="00E03FA7" w:rsidRDefault="00C92442" w:rsidP="00E03FA7">
            <w:pPr>
              <w:pStyle w:val="CETBodytext"/>
              <w:rPr>
                <w:sz w:val="16"/>
                <w:szCs w:val="18"/>
              </w:rPr>
            </w:pPr>
            <w:r w:rsidRPr="00E03FA7">
              <w:rPr>
                <w:noProof/>
                <w:sz w:val="16"/>
                <w:szCs w:val="18"/>
                <w:lang w:val="es-ES"/>
              </w:rPr>
              <mc:AlternateContent>
                <mc:Choice Requires="wps">
                  <w:drawing>
                    <wp:anchor distT="0" distB="0" distL="114300" distR="114300" simplePos="0" relativeHeight="251666432" behindDoc="0" locked="0" layoutInCell="1" allowOverlap="1" wp14:anchorId="41369A5C" wp14:editId="3802996A">
                      <wp:simplePos x="0" y="0"/>
                      <wp:positionH relativeFrom="column">
                        <wp:posOffset>590550</wp:posOffset>
                      </wp:positionH>
                      <wp:positionV relativeFrom="paragraph">
                        <wp:posOffset>38100</wp:posOffset>
                      </wp:positionV>
                      <wp:extent cx="828675" cy="342900"/>
                      <wp:effectExtent l="0" t="0" r="0" b="0"/>
                      <wp:wrapNone/>
                      <wp:docPr id="14" name="Cuadro de texto 14">
                        <a:extLst xmlns:a="http://schemas.openxmlformats.org/drawingml/2006/main">
                          <a:ext uri="{FF2B5EF4-FFF2-40B4-BE49-F238E27FC236}">
                            <a16:creationId xmlns:a16="http://schemas.microsoft.com/office/drawing/2014/main" id="{4AEF5029-BA18-44C5-8579-8AE8508176CD}"/>
                          </a:ext>
                        </a:extLst>
                      </wp:docPr>
                      <wp:cNvGraphicFramePr/>
                      <a:graphic xmlns:a="http://schemas.openxmlformats.org/drawingml/2006/main">
                        <a:graphicData uri="http://schemas.microsoft.com/office/word/2010/wordprocessingShape">
                          <wps:wsp>
                            <wps:cNvSpPr txBox="1"/>
                            <wps:spPr>
                              <a:xfrm>
                                <a:off x="0" y="0"/>
                                <a:ext cx="828675" cy="34290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284FD24" w14:textId="77777777" w:rsidR="00C92442" w:rsidRPr="008E44AA" w:rsidRDefault="00C92442" w:rsidP="00C92442">
                                  <w:pPr>
                                    <w:rPr>
                                      <w:rFonts w:ascii="Cambria Math" w:eastAsia="Cambria Math" w:hAnsi="Cambria Math" w:cstheme="minorBidi"/>
                                      <w:i/>
                                      <w:iCs/>
                                      <w:color w:val="000000" w:themeColor="text1"/>
                                      <w:sz w:val="20"/>
                                      <w:szCs w:val="20"/>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r>
                                            <w:rPr>
                                              <w:rFonts w:ascii="Cambria Math" w:eastAsia="Cambria Math" w:hAnsi="Cambria Math" w:cstheme="minorBidi"/>
                                              <w:color w:val="000000" w:themeColor="text1"/>
                                              <w:sz w:val="18"/>
                                              <w:szCs w:val="18"/>
                                            </w:rPr>
                                            <m:t>V∙I</m:t>
                                          </m:r>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Formate</m:t>
                                              </m:r>
                                            </m:e>
                                            <m:sub>
                                              <m:r>
                                                <w:rPr>
                                                  <w:rFonts w:ascii="Cambria Math" w:eastAsia="Cambria Math" w:hAnsi="Cambria Math" w:cstheme="minorBidi"/>
                                                  <w:color w:val="000000" w:themeColor="text1"/>
                                                  <w:sz w:val="18"/>
                                                  <w:szCs w:val="18"/>
                                                </w:rPr>
                                                <m:t>P</m:t>
                                              </m:r>
                                            </m:sub>
                                          </m:sSub>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1369A5C" id="Cuadro de texto 14" o:spid="_x0000_s1034" type="#_x0000_t202" style="position:absolute;left:0;text-align:left;margin-left:46.5pt;margin-top:3pt;width:65.25pt;height:27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" filled="f" stroked="f">
                      <v:textbox style="mso-fit-shape-to-text:t" inset="0,0,0,0">
                        <w:txbxContent>
                          <w:p w14:paraId="4284FD24" w14:textId="77777777" w:rsidR="00C92442" w:rsidRPr="008E44AA" w:rsidRDefault="00C92442" w:rsidP="00C92442">
                            <w:pPr>
                              <w:rPr>
                                <w:rFonts w:ascii="Cambria Math" w:eastAsia="Cambria Math" w:hAnsi="Cambria Math" w:cstheme="minorBidi"/>
                                <w:i/>
                                <w:iCs/>
                                <w:color w:val="000000" w:themeColor="text1"/>
                                <w:sz w:val="20"/>
                                <w:szCs w:val="20"/>
                              </w:rPr>
                            </w:pPr>
                            <m:oMathPara>
                              <m:oMathParaPr>
                                <m:jc m:val="centerGroup"/>
                              </m:oMathParaPr>
                              <m:oMath>
                                <m:r>
                                  <w:rPr>
                                    <w:rFonts w:ascii="Cambria Math" w:eastAsia="Cambria Math" w:hAnsi="Cambria Math" w:cstheme="minorBidi"/>
                                    <w:color w:val="000000" w:themeColor="text1"/>
                                    <w:sz w:val="18"/>
                                    <w:szCs w:val="18"/>
                                  </w:rPr>
                                  <m:t>=</m:t>
                                </m:r>
                                <m:f>
                                  <m:fPr>
                                    <m:ctrlPr>
                                      <w:rPr>
                                        <w:rFonts w:ascii="Cambria Math" w:eastAsia="Cambria Math" w:hAnsi="Cambria Math" w:cstheme="minorBidi"/>
                                        <w:i/>
                                        <w:iCs/>
                                        <w:color w:val="000000" w:themeColor="text1"/>
                                        <w:sz w:val="18"/>
                                        <w:szCs w:val="18"/>
                                      </w:rPr>
                                    </m:ctrlPr>
                                  </m:fPr>
                                  <m:num>
                                    <m:r>
                                      <w:rPr>
                                        <w:rFonts w:ascii="Cambria Math" w:eastAsia="Cambria Math" w:hAnsi="Cambria Math" w:cstheme="minorBidi"/>
                                        <w:color w:val="000000" w:themeColor="text1"/>
                                        <w:sz w:val="18"/>
                                        <w:szCs w:val="18"/>
                                      </w:rPr>
                                      <m:t>V∙I</m:t>
                                    </m:r>
                                  </m:num>
                                  <m:den>
                                    <m:sSub>
                                      <m:sSubPr>
                                        <m:ctrlPr>
                                          <w:rPr>
                                            <w:rFonts w:ascii="Cambria Math" w:eastAsia="Cambria Math" w:hAnsi="Cambria Math" w:cstheme="minorBidi"/>
                                            <w:i/>
                                            <w:iCs/>
                                            <w:color w:val="000000" w:themeColor="text1"/>
                                            <w:sz w:val="18"/>
                                            <w:szCs w:val="18"/>
                                          </w:rPr>
                                        </m:ctrlPr>
                                      </m:sSubPr>
                                      <m:e>
                                        <m:r>
                                          <w:rPr>
                                            <w:rFonts w:ascii="Cambria Math" w:eastAsia="Cambria Math" w:hAnsi="Cambria Math" w:cstheme="minorBidi"/>
                                            <w:color w:val="000000" w:themeColor="text1"/>
                                            <w:sz w:val="18"/>
                                            <w:szCs w:val="18"/>
                                          </w:rPr>
                                          <m:t>Formate</m:t>
                                        </m:r>
                                      </m:e>
                                      <m:sub>
                                        <m:r>
                                          <w:rPr>
                                            <w:rFonts w:ascii="Cambria Math" w:eastAsia="Cambria Math" w:hAnsi="Cambria Math" w:cstheme="minorBidi"/>
                                            <w:color w:val="000000" w:themeColor="text1"/>
                                            <w:sz w:val="18"/>
                                            <w:szCs w:val="18"/>
                                          </w:rPr>
                                          <m:t>P</m:t>
                                        </m:r>
                                      </m:sub>
                                    </m:sSub>
                                  </m:den>
                                </m:f>
                              </m:oMath>
                            </m:oMathPara>
                          </w:p>
                        </w:txbxContent>
                      </v:textbox>
                    </v:shape>
                  </w:pict>
                </mc:Fallback>
              </mc:AlternateContent>
            </w:r>
          </w:p>
        </w:tc>
      </w:tr>
      <w:tr w:rsidR="00A27497" w:rsidRPr="00803CEA" w14:paraId="0DEF6BFB" w14:textId="77777777" w:rsidTr="009438A6">
        <w:trPr>
          <w:trHeight w:val="425"/>
        </w:trPr>
        <w:tc>
          <w:tcPr>
            <w:tcW w:w="1980" w:type="dxa"/>
            <w:hideMark/>
          </w:tcPr>
          <w:p w14:paraId="4655BB0E" w14:textId="77777777" w:rsidR="00A27497" w:rsidRPr="00E03FA7" w:rsidRDefault="00A27497" w:rsidP="00E03FA7">
            <w:pPr>
              <w:pStyle w:val="CETBodytext"/>
              <w:rPr>
                <w:sz w:val="16"/>
                <w:szCs w:val="18"/>
                <w:lang w:val="es-ES"/>
              </w:rPr>
            </w:pPr>
            <w:r w:rsidRPr="00E03FA7">
              <w:rPr>
                <w:sz w:val="16"/>
                <w:szCs w:val="18"/>
                <w:lang w:val="es-ES"/>
              </w:rPr>
              <w:t>pH</w:t>
            </w:r>
          </w:p>
        </w:tc>
        <w:tc>
          <w:tcPr>
            <w:tcW w:w="1984" w:type="dxa"/>
            <w:hideMark/>
          </w:tcPr>
          <w:p w14:paraId="61F5D5A3" w14:textId="77777777" w:rsidR="00A27497" w:rsidRPr="00E03FA7" w:rsidRDefault="00A27497" w:rsidP="00E03FA7">
            <w:pPr>
              <w:pStyle w:val="CETBodytext"/>
              <w:rPr>
                <w:sz w:val="16"/>
                <w:szCs w:val="18"/>
                <w:lang w:val="es-ES"/>
              </w:rPr>
            </w:pPr>
            <w:r w:rsidRPr="00E03FA7">
              <w:rPr>
                <w:sz w:val="16"/>
                <w:szCs w:val="18"/>
                <w:lang w:val="es-ES"/>
              </w:rPr>
              <w:t>Outlet H</w:t>
            </w:r>
            <w:r w:rsidRPr="00E03FA7">
              <w:rPr>
                <w:sz w:val="16"/>
                <w:szCs w:val="18"/>
                <w:vertAlign w:val="subscript"/>
                <w:lang w:val="es-ES"/>
              </w:rPr>
              <w:t>2</w:t>
            </w:r>
            <w:r w:rsidRPr="00E03FA7">
              <w:rPr>
                <w:sz w:val="16"/>
                <w:szCs w:val="18"/>
                <w:lang w:val="es-ES"/>
              </w:rPr>
              <w:t xml:space="preserve"> Concentration, H</w:t>
            </w:r>
            <w:r w:rsidRPr="00E03FA7">
              <w:rPr>
                <w:sz w:val="16"/>
                <w:szCs w:val="18"/>
                <w:vertAlign w:val="subscript"/>
                <w:lang w:val="es-ES"/>
              </w:rPr>
              <w:t>2OUT</w:t>
            </w:r>
            <w:r w:rsidRPr="00E03FA7">
              <w:rPr>
                <w:sz w:val="16"/>
                <w:szCs w:val="18"/>
                <w:lang w:val="es-ES"/>
              </w:rPr>
              <w:t xml:space="preserve"> (%)</w:t>
            </w:r>
          </w:p>
        </w:tc>
        <w:tc>
          <w:tcPr>
            <w:tcW w:w="1560" w:type="dxa"/>
            <w:vMerge w:val="restart"/>
            <w:hideMark/>
          </w:tcPr>
          <w:p w14:paraId="2F11A7FB" w14:textId="77777777" w:rsidR="00A27497" w:rsidRPr="00E03FA7" w:rsidRDefault="00A27497" w:rsidP="00E03FA7">
            <w:pPr>
              <w:pStyle w:val="CETBodytext"/>
              <w:rPr>
                <w:sz w:val="16"/>
                <w:szCs w:val="18"/>
                <w:lang w:val="es-ES"/>
              </w:rPr>
            </w:pPr>
          </w:p>
        </w:tc>
        <w:tc>
          <w:tcPr>
            <w:tcW w:w="3253" w:type="dxa"/>
            <w:vMerge w:val="restart"/>
            <w:hideMark/>
          </w:tcPr>
          <w:p w14:paraId="536612E3" w14:textId="704359C4" w:rsidR="00A27497" w:rsidRPr="00E03FA7" w:rsidRDefault="00A27497" w:rsidP="00E03FA7">
            <w:pPr>
              <w:pStyle w:val="CETBodytext"/>
              <w:rPr>
                <w:sz w:val="16"/>
                <w:szCs w:val="18"/>
              </w:rPr>
            </w:pPr>
            <w:r w:rsidRPr="00E03FA7">
              <w:rPr>
                <w:sz w:val="16"/>
                <w:szCs w:val="18"/>
              </w:rPr>
              <w:t xml:space="preserve">*Where </w:t>
            </w:r>
            <w:r w:rsidRPr="00E03FA7">
              <w:rPr>
                <w:i/>
                <w:iCs/>
                <w:sz w:val="16"/>
                <w:szCs w:val="18"/>
              </w:rPr>
              <w:t>z</w:t>
            </w:r>
            <w:r w:rsidRPr="00E03FA7">
              <w:rPr>
                <w:sz w:val="16"/>
                <w:szCs w:val="18"/>
              </w:rPr>
              <w:t xml:space="preserve"> is the number of electrons exchanged in the reaction, and</w:t>
            </w:r>
            <w:r w:rsidRPr="00E03FA7">
              <w:rPr>
                <w:i/>
                <w:iCs/>
                <w:sz w:val="16"/>
                <w:szCs w:val="18"/>
              </w:rPr>
              <w:t xml:space="preserve"> F</w:t>
            </w:r>
            <w:r w:rsidRPr="00E03FA7">
              <w:rPr>
                <w:sz w:val="16"/>
                <w:szCs w:val="18"/>
              </w:rPr>
              <w:t xml:space="preserve"> is the Faraday constant</w:t>
            </w:r>
            <w:r w:rsidR="000735EF">
              <w:rPr>
                <w:sz w:val="16"/>
                <w:szCs w:val="18"/>
              </w:rPr>
              <w:t>.</w:t>
            </w:r>
          </w:p>
        </w:tc>
      </w:tr>
      <w:tr w:rsidR="00A27497" w:rsidRPr="00C92442" w14:paraId="23327B81" w14:textId="77777777" w:rsidTr="009438A6">
        <w:trPr>
          <w:trHeight w:val="420"/>
        </w:trPr>
        <w:tc>
          <w:tcPr>
            <w:tcW w:w="1980" w:type="dxa"/>
            <w:hideMark/>
          </w:tcPr>
          <w:p w14:paraId="350E23AC" w14:textId="77777777" w:rsidR="00A27497" w:rsidRPr="00E03FA7" w:rsidRDefault="00A27497" w:rsidP="00E03FA7">
            <w:pPr>
              <w:pStyle w:val="CETBodytext"/>
              <w:rPr>
                <w:sz w:val="16"/>
                <w:szCs w:val="18"/>
                <w:lang w:val="es-ES"/>
              </w:rPr>
            </w:pPr>
            <w:proofErr w:type="spellStart"/>
            <w:r w:rsidRPr="00E03FA7">
              <w:rPr>
                <w:sz w:val="16"/>
                <w:szCs w:val="18"/>
                <w:lang w:val="es-ES"/>
              </w:rPr>
              <w:t>Inlet</w:t>
            </w:r>
            <w:proofErr w:type="spellEnd"/>
            <w:r w:rsidRPr="00E03FA7">
              <w:rPr>
                <w:sz w:val="16"/>
                <w:szCs w:val="18"/>
                <w:lang w:val="es-ES"/>
              </w:rPr>
              <w:t xml:space="preserve"> CO</w:t>
            </w:r>
            <w:r w:rsidRPr="00E03FA7">
              <w:rPr>
                <w:sz w:val="16"/>
                <w:szCs w:val="18"/>
                <w:vertAlign w:val="subscript"/>
                <w:lang w:val="es-ES"/>
              </w:rPr>
              <w:t>2</w:t>
            </w:r>
            <w:r w:rsidRPr="00E03FA7">
              <w:rPr>
                <w:sz w:val="16"/>
                <w:szCs w:val="18"/>
                <w:lang w:val="es-ES"/>
              </w:rPr>
              <w:t xml:space="preserve"> Concentration, CO</w:t>
            </w:r>
            <w:r w:rsidRPr="00E03FA7">
              <w:rPr>
                <w:sz w:val="16"/>
                <w:szCs w:val="18"/>
                <w:vertAlign w:val="subscript"/>
                <w:lang w:val="es-ES"/>
              </w:rPr>
              <w:t>2IN</w:t>
            </w:r>
            <w:r w:rsidRPr="00E03FA7">
              <w:rPr>
                <w:sz w:val="16"/>
                <w:szCs w:val="18"/>
                <w:lang w:val="es-ES"/>
              </w:rPr>
              <w:t xml:space="preserve"> (%)</w:t>
            </w:r>
          </w:p>
        </w:tc>
        <w:tc>
          <w:tcPr>
            <w:tcW w:w="1984" w:type="dxa"/>
            <w:hideMark/>
          </w:tcPr>
          <w:p w14:paraId="7A7B4CC1" w14:textId="77777777" w:rsidR="00A27497" w:rsidRPr="00E03FA7" w:rsidRDefault="00A27497" w:rsidP="00E03FA7">
            <w:pPr>
              <w:pStyle w:val="CETBodytext"/>
              <w:rPr>
                <w:sz w:val="16"/>
                <w:szCs w:val="18"/>
                <w:lang w:val="es-ES"/>
              </w:rPr>
            </w:pPr>
            <w:r w:rsidRPr="00E03FA7">
              <w:rPr>
                <w:sz w:val="16"/>
                <w:szCs w:val="18"/>
                <w:lang w:val="es-ES"/>
              </w:rPr>
              <w:t>Outlet CO concentration, CO</w:t>
            </w:r>
            <w:r w:rsidRPr="00E03FA7">
              <w:rPr>
                <w:sz w:val="16"/>
                <w:szCs w:val="18"/>
                <w:vertAlign w:val="subscript"/>
                <w:lang w:val="es-ES"/>
              </w:rPr>
              <w:t>OUT</w:t>
            </w:r>
            <w:r w:rsidRPr="00E03FA7">
              <w:rPr>
                <w:sz w:val="16"/>
                <w:szCs w:val="18"/>
                <w:lang w:val="es-ES"/>
              </w:rPr>
              <w:t xml:space="preserve"> (%)</w:t>
            </w:r>
          </w:p>
        </w:tc>
        <w:tc>
          <w:tcPr>
            <w:tcW w:w="1560" w:type="dxa"/>
            <w:vMerge/>
            <w:hideMark/>
          </w:tcPr>
          <w:p w14:paraId="673C8F0F" w14:textId="77777777" w:rsidR="00A27497" w:rsidRPr="00E03FA7" w:rsidRDefault="00A27497" w:rsidP="00E03FA7">
            <w:pPr>
              <w:pStyle w:val="CETBodytext"/>
              <w:rPr>
                <w:sz w:val="16"/>
                <w:szCs w:val="18"/>
                <w:lang w:val="es-ES"/>
              </w:rPr>
            </w:pPr>
          </w:p>
        </w:tc>
        <w:tc>
          <w:tcPr>
            <w:tcW w:w="3253" w:type="dxa"/>
            <w:vMerge/>
            <w:hideMark/>
          </w:tcPr>
          <w:p w14:paraId="19491189" w14:textId="77777777" w:rsidR="00A27497" w:rsidRPr="00E03FA7" w:rsidRDefault="00A27497" w:rsidP="00E03FA7">
            <w:pPr>
              <w:pStyle w:val="CETBodytext"/>
              <w:rPr>
                <w:sz w:val="16"/>
                <w:szCs w:val="18"/>
                <w:lang w:val="es-ES"/>
              </w:rPr>
            </w:pPr>
          </w:p>
        </w:tc>
      </w:tr>
    </w:tbl>
    <w:p w14:paraId="70F770F8" w14:textId="36C51A80" w:rsidR="006F2DF7" w:rsidRDefault="006F2DF7" w:rsidP="006F2DF7">
      <w:pPr>
        <w:pStyle w:val="CETHeading1"/>
      </w:pPr>
      <w:r>
        <w:t>Results</w:t>
      </w:r>
    </w:p>
    <w:p w14:paraId="3A5E13AA" w14:textId="6A170FDD" w:rsidR="003E3CE5" w:rsidRPr="00B57B36" w:rsidRDefault="003E3CE5" w:rsidP="003E3CE5">
      <w:pPr>
        <w:pStyle w:val="CETheadingx"/>
      </w:pPr>
      <w:r>
        <w:t>Membrane capture validation</w:t>
      </w:r>
    </w:p>
    <w:p w14:paraId="4DF1360E" w14:textId="40ADBD39" w:rsidR="003E3CE5" w:rsidRDefault="00807FF5" w:rsidP="00063274">
      <w:pPr>
        <w:pStyle w:val="CETBodytext"/>
        <w:spacing w:after="120"/>
      </w:pPr>
      <w:r w:rsidRPr="00807FF5">
        <w:t>Once the experimental system is fully commissioned, separation tests are conducted using real flue gas streams. These gases contain approximately 7–1</w:t>
      </w:r>
      <w:r w:rsidR="005844D8">
        <w:t>5</w:t>
      </w:r>
      <w:r w:rsidRPr="00807FF5">
        <w:t>% v/v CO</w:t>
      </w:r>
      <w:r w:rsidRPr="00807FF5">
        <w:rPr>
          <w:rFonts w:ascii="Cambria Math" w:hAnsi="Cambria Math" w:cs="Cambria Math"/>
        </w:rPr>
        <w:t>₂</w:t>
      </w:r>
      <w:r w:rsidRPr="00807FF5">
        <w:t>, with N</w:t>
      </w:r>
      <w:r w:rsidRPr="00807FF5">
        <w:rPr>
          <w:rFonts w:ascii="Cambria Math" w:hAnsi="Cambria Math" w:cs="Cambria Math"/>
        </w:rPr>
        <w:t>₂</w:t>
      </w:r>
      <w:r w:rsidRPr="00807FF5">
        <w:t xml:space="preserve"> as the main component and minor amounts of O</w:t>
      </w:r>
      <w:r w:rsidRPr="00807FF5">
        <w:rPr>
          <w:rFonts w:ascii="Cambria Math" w:hAnsi="Cambria Math" w:cs="Cambria Math"/>
        </w:rPr>
        <w:t>₂</w:t>
      </w:r>
      <w:r w:rsidRPr="00807FF5">
        <w:t xml:space="preserve">. The tests are performed </w:t>
      </w:r>
      <w:r w:rsidR="008E7769">
        <w:t xml:space="preserve">with </w:t>
      </w:r>
      <w:r w:rsidRPr="00807FF5">
        <w:t>system pressures of 1.6</w:t>
      </w:r>
      <w:r w:rsidRPr="00807FF5">
        <w:rPr>
          <w:rFonts w:cs="Arial"/>
        </w:rPr>
        <w:t>–</w:t>
      </w:r>
      <w:r w:rsidRPr="00807FF5">
        <w:t>3 bar, retentate pressures of 1.1</w:t>
      </w:r>
      <w:r w:rsidRPr="00807FF5">
        <w:rPr>
          <w:rFonts w:cs="Arial"/>
        </w:rPr>
        <w:t>–</w:t>
      </w:r>
      <w:r w:rsidRPr="00807FF5">
        <w:t>2.75 bar, and CO</w:t>
      </w:r>
      <w:r w:rsidRPr="00807FF5">
        <w:rPr>
          <w:rFonts w:ascii="Cambria Math" w:hAnsi="Cambria Math" w:cs="Cambria Math"/>
        </w:rPr>
        <w:t>₂</w:t>
      </w:r>
      <w:r w:rsidRPr="00807FF5">
        <w:t xml:space="preserve"> feed rates of 1</w:t>
      </w:r>
      <w:r w:rsidRPr="00807FF5">
        <w:rPr>
          <w:rFonts w:cs="Arial"/>
        </w:rPr>
        <w:t>–</w:t>
      </w:r>
      <w:r w:rsidRPr="00807FF5">
        <w:t xml:space="preserve">5 </w:t>
      </w:r>
      <w:r w:rsidR="008E7769">
        <w:t>L min</w:t>
      </w:r>
      <w:r w:rsidR="008E7769" w:rsidRPr="008E7769">
        <w:rPr>
          <w:vertAlign w:val="superscript"/>
        </w:rPr>
        <w:t>-1</w:t>
      </w:r>
      <w:r w:rsidR="00677DB4">
        <w:t>.</w:t>
      </w:r>
      <w:r w:rsidR="00677DB4" w:rsidRPr="00807FF5">
        <w:t xml:space="preserve"> </w:t>
      </w:r>
      <w:r w:rsidR="00677DB4">
        <w:t>The</w:t>
      </w:r>
      <w:r w:rsidR="00677DB4" w:rsidRPr="00807FF5">
        <w:t xml:space="preserve"> </w:t>
      </w:r>
      <w:r w:rsidRPr="00807FF5">
        <w:t>system consistently enriches CO</w:t>
      </w:r>
      <w:r w:rsidRPr="00807FF5">
        <w:rPr>
          <w:rFonts w:ascii="Cambria Math" w:hAnsi="Cambria Math" w:cs="Cambria Math"/>
        </w:rPr>
        <w:t>₂</w:t>
      </w:r>
      <w:r w:rsidRPr="00807FF5">
        <w:t xml:space="preserve"> in the permeate (10.8</w:t>
      </w:r>
      <w:r w:rsidRPr="00807FF5">
        <w:rPr>
          <w:rFonts w:cs="Arial"/>
        </w:rPr>
        <w:t>–</w:t>
      </w:r>
      <w:r w:rsidRPr="00807FF5">
        <w:t>18.5% v/v) while reducing its concentration in the retentate (~4.4</w:t>
      </w:r>
      <w:r w:rsidRPr="00807FF5">
        <w:rPr>
          <w:rFonts w:cs="Arial"/>
        </w:rPr>
        <w:t>–</w:t>
      </w:r>
      <w:r w:rsidRPr="00807FF5">
        <w:t xml:space="preserve">9.8% v/v), achieving </w:t>
      </w:r>
      <w:r w:rsidR="005844D8">
        <w:t>CO</w:t>
      </w:r>
      <w:r w:rsidR="005844D8" w:rsidRPr="005844D8">
        <w:rPr>
          <w:vertAlign w:val="subscript"/>
        </w:rPr>
        <w:t>2</w:t>
      </w:r>
      <w:r w:rsidR="005844D8">
        <w:t xml:space="preserve"> recoveries</w:t>
      </w:r>
      <w:r w:rsidRPr="00807FF5">
        <w:t xml:space="preserve"> between 114% and 201%</w:t>
      </w:r>
      <w:r w:rsidR="005844D8">
        <w:t>, as</w:t>
      </w:r>
      <w:r w:rsidR="00FD13FD">
        <w:t xml:space="preserve"> the</w:t>
      </w:r>
      <w:r w:rsidR="005844D8">
        <w:t xml:space="preserve"> inlet CO</w:t>
      </w:r>
      <w:r w:rsidR="005844D8" w:rsidRPr="005844D8">
        <w:rPr>
          <w:vertAlign w:val="subscript"/>
        </w:rPr>
        <w:t>2</w:t>
      </w:r>
      <w:r w:rsidR="005844D8">
        <w:t xml:space="preserve"> concentration is </w:t>
      </w:r>
      <w:r w:rsidR="00FD13FD">
        <w:t>nearly doubled</w:t>
      </w:r>
      <w:r w:rsidRPr="00807FF5">
        <w:t>. Transport properties derived from the experiments show CO</w:t>
      </w:r>
      <w:r w:rsidRPr="00807FF5">
        <w:rPr>
          <w:rFonts w:ascii="Cambria Math" w:hAnsi="Cambria Math" w:cs="Cambria Math"/>
        </w:rPr>
        <w:t>₂</w:t>
      </w:r>
      <w:r w:rsidRPr="00807FF5">
        <w:t xml:space="preserve"> permeabilities of ~3.1</w:t>
      </w:r>
      <w:r w:rsidRPr="00807FF5">
        <w:rPr>
          <w:rFonts w:cs="Arial"/>
        </w:rPr>
        <w:t>×</w:t>
      </w:r>
      <w:r w:rsidRPr="00807FF5">
        <w:t>10</w:t>
      </w:r>
      <w:r w:rsidRPr="00807FF5">
        <w:rPr>
          <w:rFonts w:cs="Arial"/>
        </w:rPr>
        <w:t>²–</w:t>
      </w:r>
      <w:r w:rsidRPr="00807FF5">
        <w:t>1.66</w:t>
      </w:r>
      <w:r w:rsidRPr="00807FF5">
        <w:rPr>
          <w:rFonts w:cs="Arial"/>
        </w:rPr>
        <w:t>×</w:t>
      </w:r>
      <w:r w:rsidRPr="00807FF5">
        <w:t>10³ Barrer, permeances of ~5.6–30.2 GPU, and CO</w:t>
      </w:r>
      <w:r w:rsidRPr="00807FF5">
        <w:rPr>
          <w:rFonts w:ascii="Cambria Math" w:hAnsi="Cambria Math" w:cs="Cambria Math"/>
        </w:rPr>
        <w:t>₂</w:t>
      </w:r>
      <w:r w:rsidRPr="00807FF5">
        <w:t>/N</w:t>
      </w:r>
      <w:r w:rsidRPr="00807FF5">
        <w:rPr>
          <w:rFonts w:ascii="Cambria Math" w:hAnsi="Cambria Math" w:cs="Cambria Math"/>
        </w:rPr>
        <w:t>₂</w:t>
      </w:r>
      <w:r w:rsidRPr="00807FF5">
        <w:t xml:space="preserve"> and CO</w:t>
      </w:r>
      <w:r w:rsidRPr="00807FF5">
        <w:rPr>
          <w:rFonts w:ascii="Cambria Math" w:hAnsi="Cambria Math" w:cs="Cambria Math"/>
        </w:rPr>
        <w:t>₂</w:t>
      </w:r>
      <w:r w:rsidRPr="00807FF5">
        <w:t>/O</w:t>
      </w:r>
      <w:r w:rsidRPr="00807FF5">
        <w:rPr>
          <w:rFonts w:ascii="Cambria Math" w:hAnsi="Cambria Math" w:cs="Cambria Math"/>
        </w:rPr>
        <w:t>₂</w:t>
      </w:r>
      <w:r w:rsidRPr="00807FF5">
        <w:t xml:space="preserve"> </w:t>
      </w:r>
      <w:r w:rsidR="000E5729" w:rsidRPr="00807FF5">
        <w:t>selectivi</w:t>
      </w:r>
      <w:r w:rsidR="000E5729">
        <w:t>ties</w:t>
      </w:r>
      <w:r w:rsidRPr="00807FF5">
        <w:t xml:space="preserve"> of ~1.4</w:t>
      </w:r>
      <w:r w:rsidRPr="00807FF5">
        <w:rPr>
          <w:rFonts w:cs="Arial"/>
        </w:rPr>
        <w:t>–</w:t>
      </w:r>
      <w:r w:rsidRPr="00807FF5">
        <w:t>6.1 and ~0.9</w:t>
      </w:r>
      <w:r w:rsidRPr="00807FF5">
        <w:rPr>
          <w:rFonts w:cs="Arial"/>
        </w:rPr>
        <w:t>–</w:t>
      </w:r>
      <w:r w:rsidRPr="00807FF5">
        <w:t>3.2, respectively, in line with the expected performance of PDMS membranes under the evaluated operating conditions</w:t>
      </w:r>
      <w:r w:rsidR="005C0501">
        <w:t xml:space="preserve"> (</w:t>
      </w:r>
      <w:r w:rsidR="00581A19">
        <w:t>Han et al. 2021</w:t>
      </w:r>
      <w:r w:rsidR="005C0501">
        <w:t>)</w:t>
      </w:r>
      <w:r w:rsidRPr="00807FF5">
        <w:t>.</w:t>
      </w:r>
    </w:p>
    <w:p w14:paraId="064CA217" w14:textId="3C2A4CD3" w:rsidR="00CC404A" w:rsidRDefault="00CC404A" w:rsidP="00063274">
      <w:pPr>
        <w:pStyle w:val="CETBodytext"/>
        <w:spacing w:after="120"/>
      </w:pPr>
      <w:r w:rsidRPr="00CC404A">
        <w:t>Once the experimental data are obtained, the predictive model is trained to estimate the performance of the membrane</w:t>
      </w:r>
      <w:r w:rsidRPr="00CC404A">
        <w:rPr>
          <w:rFonts w:ascii="Cambria Math" w:hAnsi="Cambria Math" w:cs="Cambria Math"/>
        </w:rPr>
        <w:t>‑</w:t>
      </w:r>
      <w:r w:rsidRPr="00CC404A">
        <w:t>based CO</w:t>
      </w:r>
      <w:r w:rsidRPr="00CC404A">
        <w:rPr>
          <w:rFonts w:ascii="Cambria Math" w:hAnsi="Cambria Math" w:cs="Cambria Math"/>
        </w:rPr>
        <w:t>₂</w:t>
      </w:r>
      <w:r w:rsidRPr="00CC404A">
        <w:t xml:space="preserve"> capture system. In this context, the agreement between the experimental data and the model predictions for the CO</w:t>
      </w:r>
      <w:r w:rsidRPr="00CC404A">
        <w:rPr>
          <w:rFonts w:ascii="Cambria Math" w:hAnsi="Cambria Math" w:cs="Cambria Math"/>
        </w:rPr>
        <w:t>₂</w:t>
      </w:r>
      <w:r w:rsidRPr="00CC404A">
        <w:t xml:space="preserve"> concentration in the membrane permeate is presented. As shown in Figure 2, there is a very strong correlation between the experimental measurements and the model outputs, with an R² value of 0.99. This high level of agreement demonstrates that the model is able to reliably predict the operation of the membrane</w:t>
      </w:r>
      <w:r w:rsidRPr="00CC404A">
        <w:rPr>
          <w:rFonts w:ascii="Cambria Math" w:hAnsi="Cambria Math" w:cs="Cambria Math"/>
        </w:rPr>
        <w:t>‑</w:t>
      </w:r>
      <w:r w:rsidRPr="00CC404A">
        <w:t>based CO</w:t>
      </w:r>
      <w:r w:rsidRPr="00CC404A">
        <w:rPr>
          <w:rFonts w:ascii="Cambria Math" w:hAnsi="Cambria Math" w:cs="Cambria Math"/>
        </w:rPr>
        <w:t>₂</w:t>
      </w:r>
      <w:r w:rsidRPr="00CC404A">
        <w:t xml:space="preserve"> capture pilot plant, thereby validating its suitability for scale</w:t>
      </w:r>
      <w:r w:rsidRPr="00CC404A">
        <w:rPr>
          <w:rFonts w:ascii="Cambria Math" w:hAnsi="Cambria Math" w:cs="Cambria Math"/>
        </w:rPr>
        <w:t>‑</w:t>
      </w:r>
      <w:r w:rsidRPr="00CC404A">
        <w:t>up.</w:t>
      </w:r>
    </w:p>
    <w:p w14:paraId="16894F79" w14:textId="7A0483F2" w:rsidR="00CC404A" w:rsidRDefault="00CF69A8" w:rsidP="00C479FC">
      <w:pPr>
        <w:pStyle w:val="CETBodytext"/>
        <w:spacing w:after="120"/>
        <w:jc w:val="center"/>
      </w:pPr>
      <w:r>
        <w:rPr>
          <w:noProof/>
        </w:rPr>
        <w:drawing>
          <wp:inline distT="0" distB="0" distL="0" distR="0" wp14:anchorId="1A46CCBC" wp14:editId="56C436AC">
            <wp:extent cx="3143250" cy="20955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rotWithShape="1">
                    <a:blip r:embed="rId11"/>
                    <a:srcRect l="21850" t="17297" r="28474" b="23832"/>
                    <a:stretch/>
                  </pic:blipFill>
                  <pic:spPr bwMode="auto">
                    <a:xfrm>
                      <a:off x="0" y="0"/>
                      <a:ext cx="3151325" cy="2100883"/>
                    </a:xfrm>
                    <a:prstGeom prst="rect">
                      <a:avLst/>
                    </a:prstGeom>
                    <a:ln>
                      <a:noFill/>
                    </a:ln>
                    <a:extLst>
                      <a:ext uri="{53640926-AAD7-44D8-BBD7-CCE9431645EC}">
                        <a14:shadowObscured xmlns:a14="http://schemas.microsoft.com/office/drawing/2010/main"/>
                      </a:ext>
                    </a:extLst>
                  </pic:spPr>
                </pic:pic>
              </a:graphicData>
            </a:graphic>
          </wp:inline>
        </w:drawing>
      </w:r>
    </w:p>
    <w:p w14:paraId="2D90F2B6" w14:textId="2B679E4D" w:rsidR="00B45904" w:rsidRPr="00B45904" w:rsidRDefault="00B45904" w:rsidP="00361C8C">
      <w:pPr>
        <w:pStyle w:val="CETCaption"/>
        <w:spacing w:before="120"/>
      </w:pPr>
      <w:r>
        <w:rPr>
          <w:rStyle w:val="CETCaptionCarattere"/>
          <w:i/>
          <w:lang w:val="en-US"/>
        </w:rPr>
        <w:t>Figure 2</w:t>
      </w:r>
      <w:r w:rsidRPr="00BD077D">
        <w:rPr>
          <w:rStyle w:val="CETCaptionCarattere"/>
          <w:i/>
        </w:rPr>
        <w:t xml:space="preserve">: </w:t>
      </w:r>
      <w:r w:rsidR="00361C8C">
        <w:rPr>
          <w:rStyle w:val="CETCaptionCarattere"/>
          <w:i/>
        </w:rPr>
        <w:t>CO</w:t>
      </w:r>
      <w:r w:rsidR="00361C8C" w:rsidRPr="00361C8C">
        <w:rPr>
          <w:rStyle w:val="CETCaptionCarattere"/>
          <w:i/>
          <w:vertAlign w:val="subscript"/>
        </w:rPr>
        <w:t>2</w:t>
      </w:r>
      <w:r w:rsidR="00361C8C">
        <w:rPr>
          <w:rStyle w:val="CETCaptionCarattere"/>
          <w:i/>
        </w:rPr>
        <w:t xml:space="preserve"> capture m</w:t>
      </w:r>
      <w:r w:rsidR="00361C8C" w:rsidRPr="00361C8C">
        <w:rPr>
          <w:rStyle w:val="CETCaptionCarattere"/>
          <w:i/>
        </w:rPr>
        <w:t>odel adjustment to experimental data for the</w:t>
      </w:r>
      <w:r w:rsidR="00361C8C">
        <w:rPr>
          <w:rStyle w:val="CETCaptionCarattere"/>
          <w:i/>
        </w:rPr>
        <w:t xml:space="preserve"> </w:t>
      </w:r>
      <w:r w:rsidR="00361C8C" w:rsidRPr="00361C8C">
        <w:rPr>
          <w:rStyle w:val="CETCaptionCarattere"/>
          <w:i/>
        </w:rPr>
        <w:t>CO</w:t>
      </w:r>
      <w:r w:rsidR="00361C8C" w:rsidRPr="00361C8C">
        <w:rPr>
          <w:rStyle w:val="CETCaptionCarattere"/>
          <w:i/>
          <w:vertAlign w:val="subscript"/>
        </w:rPr>
        <w:t>2</w:t>
      </w:r>
      <w:r w:rsidR="00361C8C" w:rsidRPr="00361C8C">
        <w:rPr>
          <w:rStyle w:val="CETCaptionCarattere"/>
          <w:i/>
        </w:rPr>
        <w:t xml:space="preserve"> </w:t>
      </w:r>
      <w:r w:rsidR="00361C8C">
        <w:rPr>
          <w:rStyle w:val="CETCaptionCarattere"/>
          <w:i/>
        </w:rPr>
        <w:t>permeate</w:t>
      </w:r>
      <w:r w:rsidR="00361C8C" w:rsidRPr="00361C8C">
        <w:rPr>
          <w:rStyle w:val="CETCaptionCarattere"/>
          <w:i/>
        </w:rPr>
        <w:t xml:space="preserve"> concentration.</w:t>
      </w:r>
    </w:p>
    <w:p w14:paraId="36B2B2A2" w14:textId="1B66F59E" w:rsidR="00A9314D" w:rsidRPr="00B57B36" w:rsidRDefault="00A9314D" w:rsidP="00A9314D">
      <w:pPr>
        <w:pStyle w:val="CETheadingx"/>
      </w:pPr>
      <w:r>
        <w:lastRenderedPageBreak/>
        <w:t>ERCO</w:t>
      </w:r>
      <w:r w:rsidRPr="00A9314D">
        <w:rPr>
          <w:vertAlign w:val="subscript"/>
        </w:rPr>
        <w:t>2</w:t>
      </w:r>
      <w:r>
        <w:t xml:space="preserve"> pilot plant validation</w:t>
      </w:r>
    </w:p>
    <w:p w14:paraId="2A6D78D6" w14:textId="77777777" w:rsidR="00C479FC" w:rsidRDefault="00C479FC" w:rsidP="00063274">
      <w:pPr>
        <w:pStyle w:val="CETBodytext"/>
        <w:spacing w:after="120"/>
      </w:pPr>
      <w:r>
        <w:rPr>
          <w:noProof/>
        </w:rPr>
        <w:drawing>
          <wp:anchor distT="0" distB="0" distL="114300" distR="114300" simplePos="0" relativeHeight="251671552" behindDoc="0" locked="0" layoutInCell="1" allowOverlap="1" wp14:anchorId="36E4C886" wp14:editId="6AD375FB">
            <wp:simplePos x="0" y="0"/>
            <wp:positionH relativeFrom="column">
              <wp:posOffset>158115</wp:posOffset>
            </wp:positionH>
            <wp:positionV relativeFrom="paragraph">
              <wp:posOffset>1800225</wp:posOffset>
            </wp:positionV>
            <wp:extent cx="5257800" cy="1675765"/>
            <wp:effectExtent l="0" t="0" r="0" b="635"/>
            <wp:wrapThrough wrapText="bothSides">
              <wp:wrapPolygon edited="0">
                <wp:start x="470" y="246"/>
                <wp:lineTo x="470" y="2947"/>
                <wp:lineTo x="704" y="4665"/>
                <wp:lineTo x="0" y="7612"/>
                <wp:lineTo x="0" y="9576"/>
                <wp:lineTo x="783" y="12523"/>
                <wp:lineTo x="704" y="12523"/>
                <wp:lineTo x="704" y="15715"/>
                <wp:lineTo x="1017" y="16452"/>
                <wp:lineTo x="704" y="17434"/>
                <wp:lineTo x="78" y="20135"/>
                <wp:lineTo x="78" y="20872"/>
                <wp:lineTo x="6104" y="21363"/>
                <wp:lineTo x="6730" y="21363"/>
                <wp:lineTo x="20270" y="21117"/>
                <wp:lineTo x="20974" y="17679"/>
                <wp:lineTo x="20974" y="16452"/>
                <wp:lineTo x="21365" y="13014"/>
                <wp:lineTo x="21365" y="4911"/>
                <wp:lineTo x="20974" y="4665"/>
                <wp:lineTo x="20896" y="246"/>
                <wp:lineTo x="470" y="246"/>
              </wp:wrapPolygon>
            </wp:wrapThrough>
            <wp:docPr id="44137090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1675765"/>
                    </a:xfrm>
                    <a:prstGeom prst="rect">
                      <a:avLst/>
                    </a:prstGeom>
                    <a:noFill/>
                  </pic:spPr>
                </pic:pic>
              </a:graphicData>
            </a:graphic>
            <wp14:sizeRelH relativeFrom="page">
              <wp14:pctWidth>0</wp14:pctWidth>
            </wp14:sizeRelH>
            <wp14:sizeRelV relativeFrom="page">
              <wp14:pctHeight>0</wp14:pctHeight>
            </wp14:sizeRelV>
          </wp:anchor>
        </w:drawing>
      </w:r>
      <w:r w:rsidR="008750A6" w:rsidRPr="008750A6">
        <w:t>Experimental validation is carried out to assess the stability of the CO</w:t>
      </w:r>
      <w:r w:rsidR="008750A6" w:rsidRPr="008750A6">
        <w:rPr>
          <w:rFonts w:ascii="Cambria Math" w:hAnsi="Cambria Math" w:cs="Cambria Math"/>
        </w:rPr>
        <w:t>₂</w:t>
      </w:r>
      <w:r w:rsidR="008750A6" w:rsidRPr="008750A6">
        <w:t xml:space="preserve"> electroreduction system using </w:t>
      </w:r>
      <w:r w:rsidR="008750A6">
        <w:t>(</w:t>
      </w:r>
      <w:proofErr w:type="spellStart"/>
      <w:r w:rsidR="008750A6" w:rsidRPr="008750A6">
        <w:t>BiO</w:t>
      </w:r>
      <w:proofErr w:type="spellEnd"/>
      <w:r w:rsidR="008750A6">
        <w:t>)</w:t>
      </w:r>
      <w:r w:rsidR="008750A6" w:rsidRPr="008750A6">
        <w:rPr>
          <w:rFonts w:ascii="Cambria Math" w:hAnsi="Cambria Math" w:cs="Cambria Math"/>
        </w:rPr>
        <w:t>₂</w:t>
      </w:r>
      <w:r w:rsidR="008750A6" w:rsidRPr="008750A6">
        <w:t>CO</w:t>
      </w:r>
      <w:r w:rsidR="008750A6" w:rsidRPr="008750A6">
        <w:rPr>
          <w:rFonts w:ascii="Cambria Math" w:hAnsi="Cambria Math" w:cs="Cambria Math"/>
        </w:rPr>
        <w:t>₃</w:t>
      </w:r>
      <w:r w:rsidR="008750A6" w:rsidRPr="008750A6">
        <w:t xml:space="preserve"> as the catalyst in the </w:t>
      </w:r>
      <w:r w:rsidR="00ED6937">
        <w:t>GDE</w:t>
      </w:r>
      <w:r w:rsidR="008750A6" w:rsidRPr="008750A6">
        <w:t xml:space="preserve">. This material is selected </w:t>
      </w:r>
      <w:r w:rsidR="0088631B">
        <w:t>for its enhanced durability under CO</w:t>
      </w:r>
      <w:r w:rsidR="0088631B">
        <w:rPr>
          <w:rFonts w:ascii="Cambria Math" w:hAnsi="Cambria Math" w:cs="Cambria Math"/>
        </w:rPr>
        <w:t>₂</w:t>
      </w:r>
      <w:r w:rsidR="0088631B">
        <w:t xml:space="preserve"> electroreduction conditions, which mitigates previously observed degradation </w:t>
      </w:r>
      <w:r w:rsidR="00ED6937">
        <w:t>and extend</w:t>
      </w:r>
      <w:r w:rsidR="00DD35F7">
        <w:t>s</w:t>
      </w:r>
      <w:r w:rsidR="008750A6" w:rsidRPr="008750A6">
        <w:t xml:space="preserve"> stable cell operation</w:t>
      </w:r>
      <w:r w:rsidR="00A71EBC">
        <w:t xml:space="preserve"> (Abarca et al. 2025)</w:t>
      </w:r>
      <w:r w:rsidR="008750A6" w:rsidRPr="008750A6">
        <w:t>. The system is evaluated</w:t>
      </w:r>
      <w:r w:rsidR="0088631B">
        <w:t xml:space="preserve"> using pure CO</w:t>
      </w:r>
      <w:r w:rsidR="0088631B" w:rsidRPr="0088631B">
        <w:rPr>
          <w:vertAlign w:val="subscript"/>
        </w:rPr>
        <w:t>2</w:t>
      </w:r>
      <w:r w:rsidR="0088631B">
        <w:t xml:space="preserve"> feed under identical operating conditions, with </w:t>
      </w:r>
      <w:r w:rsidR="008750A6" w:rsidRPr="008750A6">
        <w:t xml:space="preserve">5 hours of daily operation over several consecutive days, without disassembling the cell or replacing the electrode. </w:t>
      </w:r>
      <w:r>
        <w:t xml:space="preserve"> </w:t>
      </w:r>
      <w:r w:rsidR="008750A6" w:rsidRPr="008750A6">
        <w:t xml:space="preserve">As shown in Figure 3, the use of </w:t>
      </w:r>
      <w:r w:rsidR="00F7051F">
        <w:t>(</w:t>
      </w:r>
      <w:proofErr w:type="spellStart"/>
      <w:r w:rsidR="008750A6" w:rsidRPr="008750A6">
        <w:t>BiO</w:t>
      </w:r>
      <w:proofErr w:type="spellEnd"/>
      <w:r w:rsidR="00F7051F">
        <w:t>)</w:t>
      </w:r>
      <w:r w:rsidR="008750A6" w:rsidRPr="008750A6">
        <w:rPr>
          <w:rFonts w:ascii="Cambria Math" w:hAnsi="Cambria Math" w:cs="Cambria Math"/>
        </w:rPr>
        <w:t>₂</w:t>
      </w:r>
      <w:r w:rsidR="008750A6" w:rsidRPr="008750A6">
        <w:t>CO</w:t>
      </w:r>
      <w:r w:rsidR="008750A6" w:rsidRPr="008750A6">
        <w:rPr>
          <w:rFonts w:ascii="Cambria Math" w:hAnsi="Cambria Math" w:cs="Cambria Math"/>
        </w:rPr>
        <w:t>₃</w:t>
      </w:r>
      <w:r w:rsidR="008750A6" w:rsidRPr="008750A6">
        <w:t xml:space="preserve"> significantly improves the stability of the </w:t>
      </w:r>
      <w:r w:rsidR="00497D37">
        <w:t>CO</w:t>
      </w:r>
      <w:r w:rsidR="00497D37" w:rsidRPr="00497D37">
        <w:rPr>
          <w:vertAlign w:val="subscript"/>
        </w:rPr>
        <w:t>2</w:t>
      </w:r>
      <w:r w:rsidR="00497D37">
        <w:t xml:space="preserve"> </w:t>
      </w:r>
      <w:r w:rsidR="008750A6" w:rsidRPr="008750A6">
        <w:t>electroreduction</w:t>
      </w:r>
      <w:r w:rsidR="001F4318">
        <w:t xml:space="preserve"> process</w:t>
      </w:r>
      <w:r w:rsidR="008750A6" w:rsidRPr="008750A6">
        <w:t xml:space="preserve">. The </w:t>
      </w:r>
      <w:r w:rsidR="00F7051F">
        <w:t>FE</w:t>
      </w:r>
      <w:r w:rsidR="008750A6" w:rsidRPr="008750A6">
        <w:t xml:space="preserve"> toward H</w:t>
      </w:r>
      <w:r w:rsidR="008750A6" w:rsidRPr="008750A6">
        <w:rPr>
          <w:rFonts w:ascii="Cambria Math" w:hAnsi="Cambria Math" w:cs="Cambria Math"/>
        </w:rPr>
        <w:t>₂</w:t>
      </w:r>
      <w:r w:rsidR="008750A6" w:rsidRPr="008750A6">
        <w:t xml:space="preserve"> remains below 10% throughout the 12 days of testing, while CO production stays within the 3–4% range. Meanwhile, </w:t>
      </w:r>
      <w:r w:rsidR="001F4318">
        <w:t xml:space="preserve">the </w:t>
      </w:r>
      <w:r w:rsidR="007C6AA8">
        <w:t>FE toward</w:t>
      </w:r>
      <w:r w:rsidR="00DD35F7">
        <w:t xml:space="preserve"> </w:t>
      </w:r>
      <w:r w:rsidR="008750A6" w:rsidRPr="008750A6">
        <w:t>formate remains close to 100% during the initial days and gradually decreases to approximately 75% by day 12</w:t>
      </w:r>
      <w:r w:rsidR="001F7BCA">
        <w:t>, due to the electrode degradation</w:t>
      </w:r>
      <w:r w:rsidR="00E37CC4">
        <w:t xml:space="preserve">, which begins </w:t>
      </w:r>
      <w:r w:rsidR="001F4318">
        <w:t>on</w:t>
      </w:r>
      <w:r w:rsidR="00E37CC4">
        <w:t xml:space="preserve"> day 8.</w:t>
      </w:r>
      <w:r>
        <w:t xml:space="preserve"> </w:t>
      </w:r>
    </w:p>
    <w:p w14:paraId="6F1DE7BB" w14:textId="7B37E587" w:rsidR="000E5729" w:rsidRDefault="008750A6" w:rsidP="00063274">
      <w:pPr>
        <w:pStyle w:val="CETBodytext"/>
        <w:spacing w:after="120"/>
      </w:pPr>
      <w:r w:rsidRPr="008750A6">
        <w:t xml:space="preserve">Overall, the average daily formate production reaches 1.7 mol, resulting in a cumulative production exceeding 20 mol, thus demonstrating </w:t>
      </w:r>
      <w:r w:rsidR="00B75F24">
        <w:t>a promising</w:t>
      </w:r>
      <w:r w:rsidRPr="008750A6">
        <w:t xml:space="preserve"> long</w:t>
      </w:r>
      <w:r w:rsidRPr="008750A6">
        <w:rPr>
          <w:rFonts w:ascii="Cambria Math" w:hAnsi="Cambria Math" w:cs="Cambria Math"/>
        </w:rPr>
        <w:t>‑</w:t>
      </w:r>
      <w:r w:rsidRPr="008750A6">
        <w:t xml:space="preserve">term performance of the </w:t>
      </w:r>
      <w:r w:rsidR="00B75F24">
        <w:t>(</w:t>
      </w:r>
      <w:proofErr w:type="spellStart"/>
      <w:r w:rsidRPr="008750A6">
        <w:t>BiO</w:t>
      </w:r>
      <w:proofErr w:type="spellEnd"/>
      <w:r w:rsidR="00B75F24">
        <w:t>)</w:t>
      </w:r>
      <w:r w:rsidRPr="008750A6">
        <w:rPr>
          <w:rFonts w:ascii="Cambria Math" w:hAnsi="Cambria Math" w:cs="Cambria Math"/>
        </w:rPr>
        <w:t>₂</w:t>
      </w:r>
      <w:r w:rsidRPr="008750A6">
        <w:t>CO</w:t>
      </w:r>
      <w:r w:rsidRPr="008750A6">
        <w:rPr>
          <w:rFonts w:ascii="Cambria Math" w:hAnsi="Cambria Math" w:cs="Cambria Math"/>
        </w:rPr>
        <w:t>₃‑</w:t>
      </w:r>
      <w:r w:rsidRPr="008750A6">
        <w:t>based electrode</w:t>
      </w:r>
      <w:r w:rsidR="00B75F24">
        <w:t xml:space="preserve"> incorporated in the 100 cm</w:t>
      </w:r>
      <w:r w:rsidR="00B75F24" w:rsidRPr="00B75F24">
        <w:rPr>
          <w:vertAlign w:val="superscript"/>
        </w:rPr>
        <w:t>2</w:t>
      </w:r>
      <w:r w:rsidR="00B75F24">
        <w:t xml:space="preserve"> electrolyzer prototype.</w:t>
      </w:r>
    </w:p>
    <w:p w14:paraId="5643647F" w14:textId="68F32D82" w:rsidR="00B75F24" w:rsidRDefault="00B75F24" w:rsidP="0056591A">
      <w:pPr>
        <w:pStyle w:val="CETBodytext"/>
        <w:spacing w:after="120"/>
        <w:jc w:val="left"/>
      </w:pPr>
    </w:p>
    <w:p w14:paraId="771E422E" w14:textId="702E107E" w:rsidR="00276385" w:rsidRPr="00276385" w:rsidRDefault="00276385" w:rsidP="00276385">
      <w:pPr>
        <w:pStyle w:val="CETCaption"/>
        <w:spacing w:before="120"/>
      </w:pPr>
      <w:r>
        <w:rPr>
          <w:rStyle w:val="CETCaptionCarattere"/>
          <w:i/>
          <w:lang w:val="en-US"/>
        </w:rPr>
        <w:t xml:space="preserve">Figure </w:t>
      </w:r>
      <w:r w:rsidR="00891AFD">
        <w:rPr>
          <w:rStyle w:val="CETCaptionCarattere"/>
          <w:i/>
          <w:lang w:val="en-US"/>
        </w:rPr>
        <w:t>3</w:t>
      </w:r>
      <w:r w:rsidRPr="00BD077D">
        <w:rPr>
          <w:rStyle w:val="CETCaptionCarattere"/>
          <w:i/>
        </w:rPr>
        <w:t xml:space="preserve">: </w:t>
      </w:r>
      <w:r w:rsidR="00891AFD" w:rsidRPr="00891AFD">
        <w:rPr>
          <w:rStyle w:val="CETCaptionCarattere"/>
          <w:i/>
        </w:rPr>
        <w:t xml:space="preserve">a) Evolution of </w:t>
      </w:r>
      <w:r w:rsidR="001F4318">
        <w:rPr>
          <w:rStyle w:val="CETCaptionCarattere"/>
          <w:i/>
        </w:rPr>
        <w:t>FE</w:t>
      </w:r>
      <w:r w:rsidR="00891AFD" w:rsidRPr="00891AFD">
        <w:rPr>
          <w:rStyle w:val="CETCaptionCarattere"/>
          <w:i/>
        </w:rPr>
        <w:t xml:space="preserve"> toward H</w:t>
      </w:r>
      <w:r w:rsidR="00891AFD" w:rsidRPr="00891AFD">
        <w:rPr>
          <w:rStyle w:val="CETCaptionCarattere"/>
          <w:rFonts w:ascii="Cambria Math" w:hAnsi="Cambria Math" w:cs="Cambria Math"/>
          <w:i/>
        </w:rPr>
        <w:t>₂</w:t>
      </w:r>
      <w:r w:rsidR="00891AFD" w:rsidRPr="00891AFD">
        <w:rPr>
          <w:rStyle w:val="CETCaptionCarattere"/>
          <w:i/>
        </w:rPr>
        <w:t xml:space="preserve"> and CO during experiments conducted </w:t>
      </w:r>
      <w:r w:rsidR="001F4318">
        <w:rPr>
          <w:rStyle w:val="CETCaptionCarattere"/>
          <w:i/>
        </w:rPr>
        <w:t>over</w:t>
      </w:r>
      <w:r w:rsidR="00891AFD" w:rsidRPr="00891AFD">
        <w:rPr>
          <w:rStyle w:val="CETCaptionCarattere"/>
          <w:i/>
        </w:rPr>
        <w:t xml:space="preserve"> several consecutive days, and b) daily results for </w:t>
      </w:r>
      <w:r w:rsidR="001F4318">
        <w:rPr>
          <w:rStyle w:val="CETCaptionCarattere"/>
          <w:i/>
        </w:rPr>
        <w:t>FE</w:t>
      </w:r>
      <w:r w:rsidR="00891AFD" w:rsidRPr="00891AFD">
        <w:rPr>
          <w:rStyle w:val="CETCaptionCarattere"/>
          <w:i/>
        </w:rPr>
        <w:t xml:space="preserve"> toward formate and formate production.</w:t>
      </w:r>
    </w:p>
    <w:p w14:paraId="322FB3E2" w14:textId="3A348EBD" w:rsidR="00DD35F7" w:rsidRDefault="00701BB3" w:rsidP="00AE372A">
      <w:pPr>
        <w:pStyle w:val="CETBodytext"/>
        <w:spacing w:after="120"/>
      </w:pPr>
      <w:r w:rsidRPr="00701BB3">
        <w:t>Data from several long</w:t>
      </w:r>
      <w:r w:rsidRPr="00701BB3">
        <w:rPr>
          <w:rFonts w:ascii="Cambria Math" w:hAnsi="Cambria Math" w:cs="Cambria Math"/>
        </w:rPr>
        <w:t>‑</w:t>
      </w:r>
      <w:r w:rsidRPr="00701BB3">
        <w:t xml:space="preserve">term experiments are used to </w:t>
      </w:r>
      <w:r w:rsidR="00DD35F7">
        <w:t>construct</w:t>
      </w:r>
      <w:r w:rsidR="00DD35F7" w:rsidRPr="00701BB3">
        <w:t xml:space="preserve"> </w:t>
      </w:r>
      <w:r w:rsidRPr="00701BB3">
        <w:t xml:space="preserve">the training dataset for the digital twin, supporting its ability to predict and monitor plant behavior under real industrial operating conditions. </w:t>
      </w:r>
    </w:p>
    <w:p w14:paraId="7F7B92B6" w14:textId="0D54CD71" w:rsidR="00C479FC" w:rsidRPr="00C479FC" w:rsidRDefault="00C479FC" w:rsidP="00C479FC">
      <w:pPr>
        <w:pStyle w:val="CETBodytext"/>
        <w:spacing w:after="120"/>
        <w:rPr>
          <w:color w:val="4F81BD" w:themeColor="accent1"/>
        </w:rPr>
      </w:pPr>
      <w:r w:rsidRPr="00C479FC">
        <w:rPr>
          <w:noProof/>
          <w:color w:val="4F81BD" w:themeColor="accent1"/>
          <w:lang w:val="es-ES"/>
        </w:rPr>
        <mc:AlternateContent>
          <mc:Choice Requires="wpg">
            <w:drawing>
              <wp:anchor distT="0" distB="0" distL="114300" distR="114300" simplePos="0" relativeHeight="251670528" behindDoc="0" locked="0" layoutInCell="1" allowOverlap="1" wp14:anchorId="5350ABED" wp14:editId="0D83A856">
                <wp:simplePos x="0" y="0"/>
                <wp:positionH relativeFrom="column">
                  <wp:posOffset>-70485</wp:posOffset>
                </wp:positionH>
                <wp:positionV relativeFrom="paragraph">
                  <wp:posOffset>42545</wp:posOffset>
                </wp:positionV>
                <wp:extent cx="2943225" cy="2152015"/>
                <wp:effectExtent l="0" t="0" r="0" b="0"/>
                <wp:wrapSquare wrapText="bothSides"/>
                <wp:docPr id="20" name="Grupo 6"/>
                <wp:cNvGraphicFramePr/>
                <a:graphic xmlns:a="http://schemas.openxmlformats.org/drawingml/2006/main">
                  <a:graphicData uri="http://schemas.microsoft.com/office/word/2010/wordprocessingGroup">
                    <wpg:wgp>
                      <wpg:cNvGrpSpPr/>
                      <wpg:grpSpPr>
                        <a:xfrm>
                          <a:off x="0" y="0"/>
                          <a:ext cx="2943225" cy="2152015"/>
                          <a:chOff x="0" y="0"/>
                          <a:chExt cx="3381785" cy="2363966"/>
                        </a:xfrm>
                      </wpg:grpSpPr>
                      <pic:pic xmlns:pic="http://schemas.openxmlformats.org/drawingml/2006/picture">
                        <pic:nvPicPr>
                          <pic:cNvPr id="21" name="Imagen 21"/>
                          <pic:cNvPicPr/>
                        </pic:nvPicPr>
                        <pic:blipFill rotWithShape="1">
                          <a:blip r:embed="rId13"/>
                          <a:srcRect l="28508" t="19725" r="13452" b="20797"/>
                          <a:stretch/>
                        </pic:blipFill>
                        <pic:spPr bwMode="auto">
                          <a:xfrm>
                            <a:off x="0" y="0"/>
                            <a:ext cx="3305175" cy="1905000"/>
                          </a:xfrm>
                          <a:prstGeom prst="rect">
                            <a:avLst/>
                          </a:prstGeom>
                          <a:ln>
                            <a:noFill/>
                          </a:ln>
                          <a:extLst>
                            <a:ext uri="{53640926-AAD7-44D8-BBD7-CCE9431645EC}">
                              <a14:shadowObscured xmlns:a14="http://schemas.microsoft.com/office/drawing/2010/main"/>
                            </a:ext>
                          </a:extLst>
                        </pic:spPr>
                      </pic:pic>
                      <wps:wsp>
                        <wps:cNvPr id="22" name="CuadroTexto 5"/>
                        <wps:cNvSpPr txBox="1"/>
                        <wps:spPr>
                          <a:xfrm>
                            <a:off x="98158" y="1904666"/>
                            <a:ext cx="3283627" cy="459300"/>
                          </a:xfrm>
                          <a:prstGeom prst="rect">
                            <a:avLst/>
                          </a:prstGeom>
                          <a:noFill/>
                        </wps:spPr>
                        <wps:txbx>
                          <w:txbxContent>
                            <w:p w14:paraId="64295FC4" w14:textId="77777777" w:rsidR="00C479FC" w:rsidRDefault="00C479FC" w:rsidP="00C479FC">
                              <w:pPr>
                                <w:rPr>
                                  <w:rFonts w:ascii="Arial" w:hAnsi="Arial"/>
                                  <w:color w:val="000000" w:themeColor="text1"/>
                                  <w:kern w:val="24"/>
                                  <w:sz w:val="18"/>
                                  <w:szCs w:val="18"/>
                                  <w:lang w:val="en-US"/>
                                </w:rPr>
                              </w:pPr>
                              <w:r>
                                <w:rPr>
                                  <w:rFonts w:ascii="Arial" w:hAnsi="Arial"/>
                                  <w:color w:val="000000" w:themeColor="text1"/>
                                  <w:kern w:val="24"/>
                                  <w:sz w:val="18"/>
                                  <w:szCs w:val="18"/>
                                  <w:lang w:val="en-US"/>
                                </w:rPr>
                                <w:t>Figure 4</w:t>
                              </w:r>
                              <w:r>
                                <w:rPr>
                                  <w:rFonts w:ascii="Arial" w:hAnsi="Arial"/>
                                  <w:color w:val="000000" w:themeColor="text1"/>
                                  <w:kern w:val="24"/>
                                  <w:sz w:val="18"/>
                                  <w:szCs w:val="18"/>
                                  <w:lang w:val="en-GB"/>
                                </w:rPr>
                                <w:t>: ERCO</w:t>
                              </w:r>
                              <w:r>
                                <w:rPr>
                                  <w:rFonts w:ascii="Arial" w:hAnsi="Arial"/>
                                  <w:color w:val="000000" w:themeColor="text1"/>
                                  <w:kern w:val="24"/>
                                  <w:position w:val="-5"/>
                                  <w:sz w:val="18"/>
                                  <w:szCs w:val="18"/>
                                  <w:vertAlign w:val="subscript"/>
                                  <w:lang w:val="en-GB"/>
                                </w:rPr>
                                <w:t>2</w:t>
                              </w:r>
                              <w:r>
                                <w:rPr>
                                  <w:rFonts w:ascii="Arial" w:hAnsi="Arial"/>
                                  <w:color w:val="000000" w:themeColor="text1"/>
                                  <w:kern w:val="24"/>
                                  <w:sz w:val="18"/>
                                  <w:szCs w:val="18"/>
                                  <w:lang w:val="en-GB"/>
                                </w:rPr>
                                <w:t xml:space="preserve"> model adjustment to experimental data in terms of formate concentration.</w:t>
                              </w: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w:pict>
              <v:group w14:anchorId="5350ABED" id="Grupo 6" o:spid="_x0000_s1035" style="position:absolute;left:0;text-align:left;margin-left:-5.55pt;margin-top:3.35pt;width:231.75pt;height:169.45pt;z-index:251670528;mso-width-relative:margin;mso-height-relative:margin" coordsize="33817,2363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1" o:spid="_x0000_s1036" type="#_x0000_t75" style="position:absolute;width:33051;height:190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">
                  <v:imagedata r:id="rId14" o:title="" croptop="12927f" cropbottom="13630f" cropleft="18683f" cropright="8816f"/>
                </v:shape>
                <v:shape id="CuadroTexto 5" o:spid="_x0000_s1037" type="#_x0000_t202" style="position:absolute;left:981;top:19046;width:32836;height:4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64295FC4" w14:textId="77777777" w:rsidR="00C479FC" w:rsidRDefault="00C479FC" w:rsidP="00C479FC">
                        <w:pPr>
                          <w:rPr>
                            <w:rFonts w:ascii="Arial" w:hAnsi="Arial"/>
                            <w:color w:val="000000" w:themeColor="text1"/>
                            <w:kern w:val="24"/>
                            <w:sz w:val="18"/>
                            <w:szCs w:val="18"/>
                            <w:lang w:val="en-US"/>
                          </w:rPr>
                        </w:pPr>
                        <w:r>
                          <w:rPr>
                            <w:rFonts w:ascii="Arial" w:hAnsi="Arial"/>
                            <w:color w:val="000000" w:themeColor="text1"/>
                            <w:kern w:val="24"/>
                            <w:sz w:val="18"/>
                            <w:szCs w:val="18"/>
                            <w:lang w:val="en-US"/>
                          </w:rPr>
                          <w:t>Figure 4</w:t>
                        </w:r>
                        <w:r>
                          <w:rPr>
                            <w:rFonts w:ascii="Arial" w:hAnsi="Arial"/>
                            <w:color w:val="000000" w:themeColor="text1"/>
                            <w:kern w:val="24"/>
                            <w:sz w:val="18"/>
                            <w:szCs w:val="18"/>
                            <w:lang w:val="en-GB"/>
                          </w:rPr>
                          <w:t>: ERCO</w:t>
                        </w:r>
                        <w:r>
                          <w:rPr>
                            <w:rFonts w:ascii="Arial" w:hAnsi="Arial"/>
                            <w:color w:val="000000" w:themeColor="text1"/>
                            <w:kern w:val="24"/>
                            <w:position w:val="-5"/>
                            <w:sz w:val="18"/>
                            <w:szCs w:val="18"/>
                            <w:vertAlign w:val="subscript"/>
                            <w:lang w:val="en-GB"/>
                          </w:rPr>
                          <w:t>2</w:t>
                        </w:r>
                        <w:r>
                          <w:rPr>
                            <w:rFonts w:ascii="Arial" w:hAnsi="Arial"/>
                            <w:color w:val="000000" w:themeColor="text1"/>
                            <w:kern w:val="24"/>
                            <w:sz w:val="18"/>
                            <w:szCs w:val="18"/>
                            <w:lang w:val="en-GB"/>
                          </w:rPr>
                          <w:t xml:space="preserve"> model adjustment to experimental data in terms of formate concentration.</w:t>
                        </w:r>
                      </w:p>
                    </w:txbxContent>
                  </v:textbox>
                </v:shape>
                <w10:wrap type="square"/>
              </v:group>
            </w:pict>
          </mc:Fallback>
        </mc:AlternateContent>
      </w:r>
      <w:r w:rsidRPr="004B0F5A">
        <w:rPr>
          <w:color w:val="4F81BD" w:themeColor="accent1"/>
        </w:rPr>
        <w:t xml:space="preserve">In </w:t>
      </w:r>
      <w:r w:rsidRPr="00C479FC">
        <w:rPr>
          <w:color w:val="4F81BD" w:themeColor="accent1"/>
        </w:rPr>
        <w:t>this context, Figure 4 compares the experimentally measured formate concentrations, obtained at 2.5-hour intervals, with the corresponding values predicted by the digital twin over the same operating period. As shown, there is a good agreement between the experimental data and the model predictions during the initial stages of the experiment, indicating that the digital twin accurately captures the system behavior under stable operating conditions. However, as the experiment progresses, a slight discrepancy becomes apparent, with the model increasingly overestimating the formate concentration. This deviation is attributed to electrode deactivation phenomena, which are not currently incorporated into the model. Consequently, long-term experimental studies of this type are essential for generating the data required to characterize electrode degradation and quantify its impact on system performance. Incorporating these effects into the digital twin will improve its predictive capability and enable a more accurate estimation of the system’s long-term stability and operational lifetime</w:t>
      </w:r>
      <w:r w:rsidRPr="004B0F5A">
        <w:rPr>
          <w:color w:val="4F81BD" w:themeColor="accent1"/>
        </w:rPr>
        <w:t>.</w:t>
      </w:r>
      <w:r>
        <w:rPr>
          <w:color w:val="4F81BD" w:themeColor="accent1"/>
        </w:rPr>
        <w:t xml:space="preserve"> </w:t>
      </w:r>
    </w:p>
    <w:p w14:paraId="52EB812F" w14:textId="35ADC269" w:rsidR="00C479FC" w:rsidRDefault="00C479FC" w:rsidP="00C479FC">
      <w:pPr>
        <w:pStyle w:val="CETBodytext"/>
        <w:spacing w:after="120"/>
        <w:rPr>
          <w:color w:val="4F81BD" w:themeColor="accent1"/>
        </w:rPr>
      </w:pPr>
    </w:p>
    <w:p w14:paraId="2572946F" w14:textId="3340A890" w:rsidR="00C479FC" w:rsidRDefault="00C479FC" w:rsidP="00C479FC">
      <w:pPr>
        <w:pStyle w:val="CETBodytext"/>
        <w:spacing w:after="120"/>
        <w:rPr>
          <w:color w:val="4F81BD" w:themeColor="accent1"/>
        </w:rPr>
      </w:pPr>
    </w:p>
    <w:p w14:paraId="2487253F" w14:textId="4D8C891C" w:rsidR="00B12D65" w:rsidRPr="00B57B36" w:rsidRDefault="00B12D65" w:rsidP="00B12D65">
      <w:pPr>
        <w:pStyle w:val="CETheadingx"/>
      </w:pPr>
      <w:r>
        <w:t>CO</w:t>
      </w:r>
      <w:r w:rsidRPr="00B12D65">
        <w:rPr>
          <w:vertAlign w:val="subscript"/>
        </w:rPr>
        <w:t>2</w:t>
      </w:r>
      <w:r>
        <w:t xml:space="preserve"> Capture and conversion integration</w:t>
      </w:r>
    </w:p>
    <w:p w14:paraId="683CAFFA" w14:textId="77777777" w:rsidR="00C479FC" w:rsidRDefault="00086FC4" w:rsidP="00086FC4">
      <w:pPr>
        <w:pStyle w:val="CETBodytext"/>
        <w:spacing w:after="120"/>
      </w:pPr>
      <w:r w:rsidRPr="00086FC4">
        <w:t>The first stage of the integration strategy is the conditioning of the industrial exhaust gases prior to conversion. For efficient ERCO</w:t>
      </w:r>
      <w:r w:rsidRPr="00086FC4">
        <w:rPr>
          <w:rFonts w:ascii="Cambria Math" w:hAnsi="Cambria Math" w:cs="Cambria Math"/>
        </w:rPr>
        <w:t>₂</w:t>
      </w:r>
      <w:r w:rsidRPr="00086FC4">
        <w:t xml:space="preserve"> operation, the CO</w:t>
      </w:r>
      <w:r w:rsidRPr="00086FC4">
        <w:rPr>
          <w:rFonts w:ascii="Cambria Math" w:hAnsi="Cambria Math" w:cs="Cambria Math"/>
        </w:rPr>
        <w:t>₂</w:t>
      </w:r>
      <w:r w:rsidRPr="00086FC4">
        <w:t xml:space="preserve"> concentration must be increased above 70</w:t>
      </w:r>
      <w:r w:rsidRPr="00086FC4">
        <w:rPr>
          <w:rFonts w:cs="Arial"/>
        </w:rPr>
        <w:t>–</w:t>
      </w:r>
      <w:r w:rsidRPr="00086FC4">
        <w:t xml:space="preserve">75%. As demonstrated in </w:t>
      </w:r>
      <w:r w:rsidRPr="00086FC4">
        <w:lastRenderedPageBreak/>
        <w:t>the experimental validation of membrane</w:t>
      </w:r>
      <w:r w:rsidRPr="00086FC4">
        <w:rPr>
          <w:rFonts w:ascii="Cambria Math" w:hAnsi="Cambria Math" w:cs="Cambria Math"/>
        </w:rPr>
        <w:t>‑</w:t>
      </w:r>
      <w:r w:rsidRPr="00086FC4">
        <w:t>based capture, a single membrane stage only allows the CO</w:t>
      </w:r>
      <w:r w:rsidRPr="00086FC4">
        <w:rPr>
          <w:rFonts w:ascii="Cambria Math" w:hAnsi="Cambria Math" w:cs="Cambria Math"/>
        </w:rPr>
        <w:t>₂</w:t>
      </w:r>
      <w:r w:rsidRPr="00086FC4">
        <w:t xml:space="preserve"> concentration to be increased from values around 10% up to approximately 20%, which is insufficient for direct utilization. Therefore, supported by the developed predictive model, it is determined that three capture stages using hollow</w:t>
      </w:r>
      <w:r w:rsidRPr="00086FC4">
        <w:rPr>
          <w:rFonts w:ascii="Cambria Math" w:hAnsi="Cambria Math" w:cs="Cambria Math"/>
        </w:rPr>
        <w:t>‑</w:t>
      </w:r>
      <w:r w:rsidRPr="00086FC4">
        <w:t xml:space="preserve">fiber </w:t>
      </w:r>
      <w:r w:rsidR="00050F8B">
        <w:t xml:space="preserve">membrane modules, similar to those used at </w:t>
      </w:r>
      <w:r w:rsidR="001F4318">
        <w:t>the laboratory</w:t>
      </w:r>
      <w:r w:rsidR="00050F8B">
        <w:t xml:space="preserve"> scale,</w:t>
      </w:r>
      <w:r w:rsidR="00050F8B" w:rsidRPr="00086FC4">
        <w:t xml:space="preserve"> </w:t>
      </w:r>
      <w:r w:rsidRPr="00086FC4">
        <w:t>connected in series are required. Under optimal pressure and feed</w:t>
      </w:r>
      <w:r w:rsidRPr="00086FC4">
        <w:rPr>
          <w:rFonts w:ascii="Cambria Math" w:hAnsi="Cambria Math" w:cs="Cambria Math"/>
        </w:rPr>
        <w:t>‑</w:t>
      </w:r>
      <w:r w:rsidRPr="00086FC4">
        <w:t>flow conditions, this configuration enables CO</w:t>
      </w:r>
      <w:r w:rsidRPr="00086FC4">
        <w:rPr>
          <w:rFonts w:ascii="Cambria Math" w:hAnsi="Cambria Math" w:cs="Cambria Math"/>
        </w:rPr>
        <w:t>₂</w:t>
      </w:r>
      <w:r w:rsidRPr="00086FC4">
        <w:t xml:space="preserve"> concentrations of up to 95% to be achieved. </w:t>
      </w:r>
      <w:r w:rsidR="00C479FC">
        <w:t xml:space="preserve"> </w:t>
      </w:r>
    </w:p>
    <w:p w14:paraId="7D0E157C" w14:textId="205B4397" w:rsidR="00C479FC" w:rsidRDefault="00086FC4" w:rsidP="00086FC4">
      <w:pPr>
        <w:pStyle w:val="CETBodytext"/>
        <w:spacing w:after="120"/>
      </w:pPr>
      <w:r w:rsidRPr="00086FC4">
        <w:t>The second stage involves coupling the capture system with the conversion unit. Since the permeate stream exits the membrane system at near</w:t>
      </w:r>
      <w:r w:rsidRPr="00086FC4">
        <w:rPr>
          <w:rFonts w:ascii="Cambria Math" w:hAnsi="Cambria Math" w:cs="Cambria Math"/>
        </w:rPr>
        <w:t>‑</w:t>
      </w:r>
      <w:r w:rsidRPr="00086FC4">
        <w:t>atmospheric pressure, a compressor is required to raise the pressure at the inlet of the utilization unit, as a slight overpressure is necessary for proper operation. The conversion stage is designed to process a CO</w:t>
      </w:r>
      <w:r w:rsidRPr="00086FC4">
        <w:rPr>
          <w:rFonts w:ascii="Cambria Math" w:hAnsi="Cambria Math" w:cs="Cambria Math"/>
        </w:rPr>
        <w:t>₂</w:t>
      </w:r>
      <w:r w:rsidRPr="00086FC4">
        <w:t xml:space="preserve"> flow rate of 20 L min</w:t>
      </w:r>
      <w:r w:rsidRPr="00086FC4">
        <w:rPr>
          <w:rFonts w:ascii="Cambria Math" w:hAnsi="Cambria Math" w:cs="Cambria Math"/>
        </w:rPr>
        <w:t>⁻</w:t>
      </w:r>
      <w:r w:rsidRPr="00086FC4">
        <w:rPr>
          <w:rFonts w:cs="Arial"/>
        </w:rPr>
        <w:t>¹</w:t>
      </w:r>
      <w:r w:rsidRPr="00086FC4">
        <w:t>, which poses a challenge in terms of electrolyzer design.</w:t>
      </w:r>
      <w:r w:rsidR="00C479FC">
        <w:t xml:space="preserve"> </w:t>
      </w:r>
    </w:p>
    <w:p w14:paraId="41C171BD" w14:textId="06977FCA" w:rsidR="00AE372A" w:rsidRPr="00C479FC" w:rsidRDefault="008211EA" w:rsidP="00086FC4">
      <w:pPr>
        <w:pStyle w:val="CETBodytext"/>
        <w:spacing w:after="120"/>
      </w:pPr>
      <w:r w:rsidRPr="008211EA">
        <w:rPr>
          <w:color w:val="4F81BD" w:themeColor="accent1"/>
        </w:rPr>
        <w:t xml:space="preserve">The </w:t>
      </w:r>
      <w:r w:rsidR="00C479FC" w:rsidRPr="00C479FC">
        <w:rPr>
          <w:color w:val="4F81BD" w:themeColor="accent1"/>
        </w:rPr>
        <w:t>scale-up of this technology presents several key challenges, particularly the integration of flue gas sources with CO</w:t>
      </w:r>
      <w:r w:rsidR="00C479FC" w:rsidRPr="00C479FC">
        <w:rPr>
          <w:color w:val="4F81BD" w:themeColor="accent1"/>
          <w:vertAlign w:val="subscript"/>
        </w:rPr>
        <w:t>2</w:t>
      </w:r>
      <w:r w:rsidR="00C479FC" w:rsidRPr="00C479FC">
        <w:rPr>
          <w:color w:val="4F81BD" w:themeColor="accent1"/>
        </w:rPr>
        <w:t xml:space="preserve"> capture, and conversion units while ensuring stable gas flow rates, pressure control, and overall process reliability. For CO</w:t>
      </w:r>
      <w:r w:rsidR="00C479FC" w:rsidRPr="00C479FC">
        <w:rPr>
          <w:rFonts w:ascii="Cambria Math" w:hAnsi="Cambria Math" w:cs="Cambria Math"/>
          <w:color w:val="4F81BD" w:themeColor="accent1"/>
        </w:rPr>
        <w:t>₂</w:t>
      </w:r>
      <w:r w:rsidR="00C479FC" w:rsidRPr="00C479FC">
        <w:rPr>
          <w:color w:val="4F81BD" w:themeColor="accent1"/>
        </w:rPr>
        <w:t xml:space="preserve"> electroreduction systems, one of the main challenges at the demonstration stage is improving electrode durability to enable stable and continuous operation over extended periods, ideally for hundreds of hours. Once this challenge is addressed, additional issues become increasingly important, including the high energy demand of the process, efficient electrolyte management, and the handling and recycling of process streams such as unconverted CO</w:t>
      </w:r>
      <w:r w:rsidR="00C479FC" w:rsidRPr="00C479FC">
        <w:rPr>
          <w:rFonts w:ascii="Cambria Math" w:hAnsi="Cambria Math" w:cs="Cambria Math"/>
          <w:color w:val="4F81BD" w:themeColor="accent1"/>
        </w:rPr>
        <w:t>₂</w:t>
      </w:r>
      <w:r w:rsidR="00C479FC" w:rsidRPr="00C479FC">
        <w:rPr>
          <w:color w:val="4F81BD" w:themeColor="accent1"/>
        </w:rPr>
        <w:t>. Evaluating and mitigating these challenges during the demonstration phase is essential to reduce technical risks and facilitate the successful industrial deployment of the technology.</w:t>
      </w:r>
    </w:p>
    <w:p w14:paraId="0AD8B960" w14:textId="58C93203" w:rsidR="00477CEA" w:rsidRDefault="00477CEA" w:rsidP="00477CEA">
      <w:pPr>
        <w:pStyle w:val="CETHeading1"/>
      </w:pPr>
      <w:r>
        <w:t>Conclusions</w:t>
      </w:r>
    </w:p>
    <w:p w14:paraId="17553522" w14:textId="5071EB34" w:rsidR="00E4133C" w:rsidRPr="00E4133C" w:rsidRDefault="007B3FE4" w:rsidP="00E4133C">
      <w:pPr>
        <w:pStyle w:val="CETHeading1"/>
        <w:numPr>
          <w:ilvl w:val="0"/>
          <w:numId w:val="0"/>
        </w:numPr>
        <w:jc w:val="both"/>
      </w:pPr>
      <w:r w:rsidRPr="007B3FE4">
        <w:rPr>
          <w:b w:val="0"/>
          <w:sz w:val="18"/>
        </w:rPr>
        <w:t>In this work, the operation of two laboratory</w:t>
      </w:r>
      <w:r w:rsidRPr="007B3FE4">
        <w:rPr>
          <w:rFonts w:ascii="Cambria Math" w:hAnsi="Cambria Math" w:cs="Cambria Math"/>
          <w:b w:val="0"/>
          <w:sz w:val="18"/>
        </w:rPr>
        <w:t>‑</w:t>
      </w:r>
      <w:r w:rsidRPr="007B3FE4">
        <w:rPr>
          <w:b w:val="0"/>
          <w:sz w:val="18"/>
        </w:rPr>
        <w:t>scale pilot plants for CO</w:t>
      </w:r>
      <w:r w:rsidRPr="007B3FE4">
        <w:rPr>
          <w:rFonts w:ascii="Cambria Math" w:hAnsi="Cambria Math" w:cs="Cambria Math"/>
          <w:b w:val="0"/>
          <w:sz w:val="18"/>
        </w:rPr>
        <w:t>₂</w:t>
      </w:r>
      <w:r w:rsidRPr="007B3FE4">
        <w:rPr>
          <w:b w:val="0"/>
          <w:sz w:val="18"/>
        </w:rPr>
        <w:t xml:space="preserve"> capture and utilization is experimentally validated. The</w:t>
      </w:r>
      <w:r w:rsidR="00E4133C">
        <w:rPr>
          <w:b w:val="0"/>
          <w:sz w:val="18"/>
        </w:rPr>
        <w:t xml:space="preserve"> single-membrane stage achieved CO</w:t>
      </w:r>
      <w:r w:rsidR="00E4133C">
        <w:rPr>
          <w:rFonts w:ascii="Cambria Math" w:hAnsi="Cambria Math" w:cs="Cambria Math"/>
          <w:b w:val="0"/>
          <w:sz w:val="18"/>
        </w:rPr>
        <w:t>₂</w:t>
      </w:r>
      <w:r w:rsidR="00E4133C">
        <w:rPr>
          <w:b w:val="0"/>
          <w:sz w:val="18"/>
        </w:rPr>
        <w:t xml:space="preserve"> enrichment up to 18.5%, while the ERCO</w:t>
      </w:r>
      <w:r w:rsidR="00E4133C">
        <w:rPr>
          <w:rFonts w:ascii="Cambria Math" w:hAnsi="Cambria Math" w:cs="Cambria Math"/>
          <w:b w:val="0"/>
          <w:sz w:val="18"/>
        </w:rPr>
        <w:t>₂</w:t>
      </w:r>
      <w:r w:rsidR="00E4133C">
        <w:rPr>
          <w:b w:val="0"/>
          <w:sz w:val="18"/>
        </w:rPr>
        <w:t>-to-formate system demonstrated high stability,</w:t>
      </w:r>
      <w:r w:rsidRPr="007B3FE4">
        <w:rPr>
          <w:b w:val="0"/>
          <w:sz w:val="18"/>
        </w:rPr>
        <w:t xml:space="preserve"> with an average daily production of 1.7 mol and </w:t>
      </w:r>
      <w:r w:rsidR="00E4133C">
        <w:rPr>
          <w:b w:val="0"/>
          <w:sz w:val="18"/>
        </w:rPr>
        <w:t>maintained</w:t>
      </w:r>
      <w:r w:rsidRPr="007B3FE4">
        <w:rPr>
          <w:b w:val="0"/>
          <w:sz w:val="18"/>
        </w:rPr>
        <w:t xml:space="preserve"> </w:t>
      </w:r>
      <w:r w:rsidR="00E4133C">
        <w:rPr>
          <w:b w:val="0"/>
          <w:sz w:val="18"/>
        </w:rPr>
        <w:t>FEs</w:t>
      </w:r>
      <w:r w:rsidRPr="007B3FE4">
        <w:rPr>
          <w:b w:val="0"/>
          <w:sz w:val="18"/>
        </w:rPr>
        <w:t xml:space="preserve"> near 100%. Based on </w:t>
      </w:r>
      <w:r w:rsidR="001F4318">
        <w:rPr>
          <w:b w:val="0"/>
          <w:sz w:val="18"/>
        </w:rPr>
        <w:t>these</w:t>
      </w:r>
      <w:r w:rsidRPr="007B3FE4">
        <w:rPr>
          <w:b w:val="0"/>
          <w:sz w:val="18"/>
        </w:rPr>
        <w:t xml:space="preserve"> experimental data, two predictive mathematical models were developed, showing high reliability</w:t>
      </w:r>
      <w:r w:rsidR="008F2784">
        <w:rPr>
          <w:b w:val="0"/>
          <w:sz w:val="18"/>
        </w:rPr>
        <w:t xml:space="preserve">. </w:t>
      </w:r>
      <w:r w:rsidRPr="007B3FE4">
        <w:rPr>
          <w:b w:val="0"/>
          <w:sz w:val="18"/>
        </w:rPr>
        <w:t>These models are integrated into a digital twin to monitor and predict the behavior of the overall CO</w:t>
      </w:r>
      <w:r w:rsidRPr="007B3FE4">
        <w:rPr>
          <w:rFonts w:ascii="Cambria Math" w:hAnsi="Cambria Math" w:cs="Cambria Math"/>
          <w:b w:val="0"/>
          <w:sz w:val="18"/>
        </w:rPr>
        <w:t>₂</w:t>
      </w:r>
      <w:r w:rsidRPr="007B3FE4">
        <w:rPr>
          <w:b w:val="0"/>
          <w:sz w:val="18"/>
        </w:rPr>
        <w:t xml:space="preserve"> recycling plant. Insights from these tests, such as the requirement of three membrane stages to reach 95% CO</w:t>
      </w:r>
      <w:r w:rsidRPr="007B3FE4">
        <w:rPr>
          <w:rFonts w:ascii="Cambria Math" w:hAnsi="Cambria Math" w:cs="Cambria Math"/>
          <w:b w:val="0"/>
          <w:sz w:val="18"/>
        </w:rPr>
        <w:t>₂</w:t>
      </w:r>
      <w:r w:rsidRPr="007B3FE4">
        <w:rPr>
          <w:b w:val="0"/>
          <w:sz w:val="18"/>
        </w:rPr>
        <w:t xml:space="preserve"> for optimal conversion, have guided critical design decisions for the </w:t>
      </w:r>
      <w:r w:rsidR="001F4318">
        <w:rPr>
          <w:b w:val="0"/>
          <w:sz w:val="18"/>
        </w:rPr>
        <w:t>overall</w:t>
      </w:r>
      <w:r w:rsidRPr="007B3FE4">
        <w:rPr>
          <w:b w:val="0"/>
          <w:sz w:val="18"/>
        </w:rPr>
        <w:t xml:space="preserve"> system, leveraging the digital twin to support its effective implementation and reliable operation.</w:t>
      </w:r>
      <w:r w:rsidR="00EE45F8">
        <w:rPr>
          <w:b w:val="0"/>
          <w:sz w:val="18"/>
        </w:rPr>
        <w:t xml:space="preserve"> </w:t>
      </w:r>
      <w:r w:rsidR="00A20A9B" w:rsidRPr="00A20A9B">
        <w:rPr>
          <w:b w:val="0"/>
          <w:sz w:val="18"/>
        </w:rPr>
        <w:t xml:space="preserve">This methodology facilitates the optimization of </w:t>
      </w:r>
      <w:r w:rsidR="00A20A9B">
        <w:rPr>
          <w:b w:val="0"/>
          <w:sz w:val="18"/>
        </w:rPr>
        <w:t>CO</w:t>
      </w:r>
      <w:r w:rsidR="00A20A9B" w:rsidRPr="00A20A9B">
        <w:rPr>
          <w:b w:val="0"/>
          <w:sz w:val="18"/>
          <w:vertAlign w:val="subscript"/>
        </w:rPr>
        <w:t>2</w:t>
      </w:r>
      <w:r w:rsidR="00A20A9B">
        <w:rPr>
          <w:b w:val="0"/>
          <w:sz w:val="18"/>
        </w:rPr>
        <w:t xml:space="preserve"> </w:t>
      </w:r>
      <w:r w:rsidR="00A20A9B" w:rsidRPr="00A20A9B">
        <w:rPr>
          <w:b w:val="0"/>
          <w:sz w:val="18"/>
        </w:rPr>
        <w:t>recycling solutions adapted to the specific requirements and constraints of different industrial sectors.</w:t>
      </w:r>
    </w:p>
    <w:p w14:paraId="61460B48" w14:textId="2B953D16" w:rsidR="00D22D04" w:rsidRDefault="00D22D04" w:rsidP="00E4133C">
      <w:pPr>
        <w:pStyle w:val="CETHeading1"/>
        <w:numPr>
          <w:ilvl w:val="0"/>
          <w:numId w:val="0"/>
        </w:numPr>
      </w:pPr>
      <w:r>
        <w:t>Acknowledgements</w:t>
      </w:r>
    </w:p>
    <w:p w14:paraId="4E78D2DF" w14:textId="61A26997" w:rsidR="00941CDE" w:rsidRPr="00891AFD" w:rsidRDefault="00941CDE" w:rsidP="00891AFD">
      <w:pPr>
        <w:pStyle w:val="CETBodytext"/>
      </w:pPr>
      <w:r w:rsidRPr="00941CDE">
        <w:t xml:space="preserve">The authors acknowledge financial support through project PDC2025-165116-I00 (MICIU/AEI/10.13039/501100011033). The present work is related to CAPTUS Project, this project has received funding from the European Union’s Horizon Europe research and innovation </w:t>
      </w:r>
      <w:proofErr w:type="spellStart"/>
      <w:r w:rsidRPr="00941CDE">
        <w:t>programme</w:t>
      </w:r>
      <w:proofErr w:type="spellEnd"/>
      <w:r w:rsidRPr="00941CDE">
        <w:t xml:space="preserve"> under grant agreement No 101118265. J.A. Abarca acknowledges the FPI grant PRE2021-097200 received from the Spanish Ministry of Science and Innovation. </w:t>
      </w:r>
    </w:p>
    <w:p w14:paraId="2C174C17" w14:textId="6F5F837A" w:rsidR="00941CDE" w:rsidRDefault="00941CDE" w:rsidP="00941CDE">
      <w:pPr>
        <w:pStyle w:val="CETHeading1"/>
      </w:pPr>
      <w:r>
        <w:t>References</w:t>
      </w:r>
    </w:p>
    <w:p w14:paraId="162B5DB7" w14:textId="77777777" w:rsidR="008108C2" w:rsidRDefault="008108C2" w:rsidP="008108C2">
      <w:pPr>
        <w:pStyle w:val="CETBodytext"/>
        <w:ind w:left="284" w:hanging="284"/>
      </w:pPr>
      <w:r>
        <w:t>Abarca J.A., Warmuth L., Rieder A., Dutta A., Vesztergom S., Broekmann P., Irabien A., Díaz</w:t>
      </w:r>
      <w:r>
        <w:rPr>
          <w:rFonts w:ascii="Cambria Math" w:hAnsi="Cambria Math" w:cs="Cambria Math"/>
        </w:rPr>
        <w:t>‑</w:t>
      </w:r>
      <w:r>
        <w:t>Sainz G., 2025, GDE Stability in CO</w:t>
      </w:r>
      <w:r>
        <w:rPr>
          <w:rFonts w:ascii="Cambria Math" w:hAnsi="Cambria Math" w:cs="Cambria Math"/>
        </w:rPr>
        <w:t>₂</w:t>
      </w:r>
      <w:r>
        <w:t xml:space="preserve"> Electroreduction to Formate: The Role of Ionomer Type and Loading, ACS Catalysis, 15, 8753</w:t>
      </w:r>
      <w:r>
        <w:rPr>
          <w:rFonts w:cs="Arial"/>
        </w:rPr>
        <w:t>–</w:t>
      </w:r>
      <w:r>
        <w:t>8767.</w:t>
      </w:r>
    </w:p>
    <w:p w14:paraId="18B70462" w14:textId="77777777" w:rsidR="008108C2" w:rsidRDefault="008108C2" w:rsidP="008108C2">
      <w:pPr>
        <w:pStyle w:val="CETBodytext"/>
        <w:ind w:left="284" w:hanging="284"/>
      </w:pPr>
      <w:r>
        <w:t>Abarca J.A., Díaz</w:t>
      </w:r>
      <w:r w:rsidRPr="008108C2">
        <w:rPr>
          <w:rFonts w:ascii="Cambria Math" w:hAnsi="Cambria Math" w:cs="Cambria Math"/>
        </w:rPr>
        <w:t>‑</w:t>
      </w:r>
      <w:r>
        <w:t>Sainz G., Irabien A., 2026, CO</w:t>
      </w:r>
      <w:r w:rsidRPr="008108C2">
        <w:rPr>
          <w:rFonts w:ascii="Cambria Math" w:hAnsi="Cambria Math" w:cs="Cambria Math"/>
        </w:rPr>
        <w:t>₂</w:t>
      </w:r>
      <w:r>
        <w:t xml:space="preserve"> electroreduction to formate: Advancing toward scalable technologies, ACS Applied Energy Materials, 9, 2041</w:t>
      </w:r>
      <w:r w:rsidRPr="008108C2">
        <w:t>–</w:t>
      </w:r>
      <w:r>
        <w:t>2049.</w:t>
      </w:r>
    </w:p>
    <w:p w14:paraId="402FE158" w14:textId="77777777" w:rsidR="008108C2" w:rsidRDefault="008108C2" w:rsidP="008108C2">
      <w:pPr>
        <w:pStyle w:val="CETBodytext"/>
        <w:ind w:left="284" w:hanging="284"/>
      </w:pPr>
      <w:r>
        <w:t>Han Y., Ho W.S.W., 2021, Polymeric membranes for CO</w:t>
      </w:r>
      <w:r>
        <w:rPr>
          <w:rFonts w:ascii="Cambria Math" w:hAnsi="Cambria Math" w:cs="Cambria Math"/>
        </w:rPr>
        <w:t>₂</w:t>
      </w:r>
      <w:r>
        <w:t xml:space="preserve"> separation and capture, Journal of Membrane Science, 628, 119244.</w:t>
      </w:r>
    </w:p>
    <w:p w14:paraId="07E4BA39" w14:textId="77777777" w:rsidR="008108C2" w:rsidRDefault="008108C2" w:rsidP="008108C2">
      <w:pPr>
        <w:pStyle w:val="CETBodytext"/>
        <w:ind w:left="284" w:hanging="284"/>
      </w:pPr>
      <w:r>
        <w:t xml:space="preserve">He X., Fu C., </w:t>
      </w:r>
      <w:proofErr w:type="spellStart"/>
      <w:r>
        <w:t>Hägg</w:t>
      </w:r>
      <w:proofErr w:type="spellEnd"/>
      <w:r>
        <w:t xml:space="preserve"> M.B., 2015, Membrane system design and process feasibility analysis for CO</w:t>
      </w:r>
      <w:r>
        <w:rPr>
          <w:rFonts w:ascii="Cambria Math" w:hAnsi="Cambria Math" w:cs="Cambria Math"/>
        </w:rPr>
        <w:t>₂</w:t>
      </w:r>
      <w:r>
        <w:t xml:space="preserve"> capture from flue gas with a fixed</w:t>
      </w:r>
      <w:r>
        <w:rPr>
          <w:rFonts w:ascii="Cambria Math" w:hAnsi="Cambria Math" w:cs="Cambria Math"/>
        </w:rPr>
        <w:t>‑</w:t>
      </w:r>
      <w:r>
        <w:t>site</w:t>
      </w:r>
      <w:r>
        <w:rPr>
          <w:rFonts w:ascii="Cambria Math" w:hAnsi="Cambria Math" w:cs="Cambria Math"/>
        </w:rPr>
        <w:t>‑</w:t>
      </w:r>
      <w:r>
        <w:t>carrier membrane, Chemical Engineering Journal, 268, 1</w:t>
      </w:r>
      <w:r>
        <w:rPr>
          <w:rFonts w:cs="Arial"/>
        </w:rPr>
        <w:t>–</w:t>
      </w:r>
      <w:r>
        <w:t>9.</w:t>
      </w:r>
    </w:p>
    <w:p w14:paraId="6CC8DA98" w14:textId="77777777" w:rsidR="008108C2" w:rsidRDefault="008108C2" w:rsidP="008108C2">
      <w:pPr>
        <w:pStyle w:val="CETBodytext"/>
        <w:ind w:left="284" w:hanging="284"/>
      </w:pPr>
      <w:proofErr w:type="spellStart"/>
      <w:r>
        <w:t>Mikulčić</w:t>
      </w:r>
      <w:proofErr w:type="spellEnd"/>
      <w:r>
        <w:t xml:space="preserve"> H., </w:t>
      </w:r>
      <w:proofErr w:type="spellStart"/>
      <w:r>
        <w:t>Skov</w:t>
      </w:r>
      <w:proofErr w:type="spellEnd"/>
      <w:r>
        <w:t xml:space="preserve"> I.R., </w:t>
      </w:r>
      <w:proofErr w:type="spellStart"/>
      <w:r>
        <w:t>Dominković</w:t>
      </w:r>
      <w:proofErr w:type="spellEnd"/>
      <w:r>
        <w:t xml:space="preserve"> D.F., Wan </w:t>
      </w:r>
      <w:proofErr w:type="spellStart"/>
      <w:r>
        <w:t>Alwi</w:t>
      </w:r>
      <w:proofErr w:type="spellEnd"/>
      <w:r>
        <w:t xml:space="preserve"> S.R., Manan Z.A., Tan R., </w:t>
      </w:r>
      <w:proofErr w:type="spellStart"/>
      <w:r>
        <w:t>Duić</w:t>
      </w:r>
      <w:proofErr w:type="spellEnd"/>
      <w:r>
        <w:t xml:space="preserve"> N., </w:t>
      </w:r>
      <w:proofErr w:type="spellStart"/>
      <w:r>
        <w:t>Hidayah</w:t>
      </w:r>
      <w:proofErr w:type="spellEnd"/>
      <w:r>
        <w:t xml:space="preserve"> Mohamad S.N., Wang X., 2019, Flexible carbon capture and utilization technologies in future energy systems and the utilization pathways of captured CO</w:t>
      </w:r>
      <w:r>
        <w:rPr>
          <w:rFonts w:ascii="Cambria Math" w:hAnsi="Cambria Math" w:cs="Cambria Math"/>
        </w:rPr>
        <w:t>₂</w:t>
      </w:r>
      <w:r>
        <w:t>, Renewable and Sustainable Energy Reviews, 114, 109338.</w:t>
      </w:r>
    </w:p>
    <w:p w14:paraId="7076FAC4" w14:textId="77777777" w:rsidR="008108C2" w:rsidRDefault="008108C2" w:rsidP="008108C2">
      <w:pPr>
        <w:pStyle w:val="CETBodytext"/>
        <w:ind w:left="284" w:hanging="284"/>
      </w:pPr>
      <w:r>
        <w:t xml:space="preserve">Rafiee A., Rajab </w:t>
      </w:r>
      <w:proofErr w:type="spellStart"/>
      <w:r>
        <w:t>Khalilpour</w:t>
      </w:r>
      <w:proofErr w:type="spellEnd"/>
      <w:r>
        <w:t xml:space="preserve"> K., Milani D., Panahi M., 2018, Trends in CO</w:t>
      </w:r>
      <w:r>
        <w:rPr>
          <w:rFonts w:ascii="Cambria Math" w:hAnsi="Cambria Math" w:cs="Cambria Math"/>
        </w:rPr>
        <w:t>₂</w:t>
      </w:r>
      <w:r>
        <w:t xml:space="preserve"> conversion and utilization: A review from process systems perspective, Journal of Environmental Chemical Engineering, 6, 5771</w:t>
      </w:r>
      <w:r>
        <w:rPr>
          <w:rFonts w:cs="Arial"/>
        </w:rPr>
        <w:t>–</w:t>
      </w:r>
      <w:r>
        <w:t>5794.</w:t>
      </w:r>
    </w:p>
    <w:p w14:paraId="19C4FC68" w14:textId="5E7AE154" w:rsidR="004628D2" w:rsidRDefault="008108C2" w:rsidP="008108C2">
      <w:pPr>
        <w:pStyle w:val="CETBodytext"/>
        <w:ind w:left="284" w:hanging="284"/>
      </w:pPr>
      <w:r>
        <w:t>Rumayor M., Domínguez</w:t>
      </w:r>
      <w:r>
        <w:rPr>
          <w:rFonts w:ascii="Cambria Math" w:hAnsi="Cambria Math" w:cs="Cambria Math"/>
        </w:rPr>
        <w:t>‑</w:t>
      </w:r>
      <w:r>
        <w:t>Ramos A., P</w:t>
      </w:r>
      <w:r>
        <w:rPr>
          <w:rFonts w:cs="Arial"/>
        </w:rPr>
        <w:t>é</w:t>
      </w:r>
      <w:r>
        <w:t>rez P., Irabien A., 2019, A techno</w:t>
      </w:r>
      <w:r>
        <w:rPr>
          <w:rFonts w:ascii="Cambria Math" w:hAnsi="Cambria Math" w:cs="Cambria Math"/>
        </w:rPr>
        <w:t>‑</w:t>
      </w:r>
      <w:r>
        <w:t>economic evaluation approach to the electrochemical reduction of CO</w:t>
      </w:r>
      <w:r>
        <w:rPr>
          <w:rFonts w:ascii="Cambria Math" w:hAnsi="Cambria Math" w:cs="Cambria Math"/>
        </w:rPr>
        <w:t>₂</w:t>
      </w:r>
      <w:r>
        <w:t xml:space="preserve"> for formic acid manufacture, Journal of CO</w:t>
      </w:r>
      <w:r>
        <w:rPr>
          <w:rFonts w:ascii="Cambria Math" w:hAnsi="Cambria Math" w:cs="Cambria Math"/>
        </w:rPr>
        <w:t>₂</w:t>
      </w:r>
      <w:r>
        <w:t xml:space="preserve"> Utilization, 34, 490</w:t>
      </w:r>
      <w:r>
        <w:rPr>
          <w:rFonts w:cs="Arial"/>
        </w:rPr>
        <w:t>–</w:t>
      </w:r>
      <w:r>
        <w:t>499.</w:t>
      </w:r>
    </w:p>
    <w:sectPr w:rsidR="004628D2"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E46DF" w14:textId="77777777" w:rsidR="00482EF2" w:rsidRDefault="00482EF2" w:rsidP="004F5E36">
      <w:r>
        <w:separator/>
      </w:r>
    </w:p>
  </w:endnote>
  <w:endnote w:type="continuationSeparator" w:id="0">
    <w:p w14:paraId="2E94DE55" w14:textId="77777777" w:rsidR="00482EF2" w:rsidRDefault="00482EF2"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10B11" w14:textId="77777777" w:rsidR="00482EF2" w:rsidRDefault="00482EF2" w:rsidP="004F5E36">
      <w:r>
        <w:separator/>
      </w:r>
    </w:p>
  </w:footnote>
  <w:footnote w:type="continuationSeparator" w:id="0">
    <w:p w14:paraId="3F138F23" w14:textId="77777777" w:rsidR="00482EF2" w:rsidRDefault="00482EF2"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Listaconnmeros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Listaconnmeros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Listaconnmeros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Listaconnmeros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Listaconvieta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Listaconvieta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Listaconvieta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Listaconvieta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Listaconnmeros"/>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Tablabsica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5"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8"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0"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3"/>
  </w:num>
  <w:num w:numId="4">
    <w:abstractNumId w:val="2"/>
  </w:num>
  <w:num w:numId="5">
    <w:abstractNumId w:val="1"/>
  </w:num>
  <w:num w:numId="6">
    <w:abstractNumId w:val="0"/>
  </w:num>
  <w:num w:numId="7">
    <w:abstractNumId w:val="9"/>
  </w:num>
  <w:num w:numId="8">
    <w:abstractNumId w:val="7"/>
  </w:num>
  <w:num w:numId="9">
    <w:abstractNumId w:val="6"/>
  </w:num>
  <w:num w:numId="10">
    <w:abstractNumId w:val="5"/>
  </w:num>
  <w:num w:numId="11">
    <w:abstractNumId w:val="4"/>
  </w:num>
  <w:num w:numId="12">
    <w:abstractNumId w:val="17"/>
  </w:num>
  <w:num w:numId="13">
    <w:abstractNumId w:val="12"/>
  </w:num>
  <w:num w:numId="14">
    <w:abstractNumId w:val="18"/>
  </w:num>
  <w:num w:numId="15">
    <w:abstractNumId w:val="20"/>
  </w:num>
  <w:num w:numId="16">
    <w:abstractNumId w:val="19"/>
  </w:num>
  <w:num w:numId="17">
    <w:abstractNumId w:val="11"/>
  </w:num>
  <w:num w:numId="18">
    <w:abstractNumId w:val="12"/>
    <w:lvlOverride w:ilvl="0">
      <w:startOverride w:val="1"/>
    </w:lvlOverride>
  </w:num>
  <w:num w:numId="19">
    <w:abstractNumId w:val="16"/>
  </w:num>
  <w:num w:numId="20">
    <w:abstractNumId w:val="15"/>
  </w:num>
  <w:num w:numId="21">
    <w:abstractNumId w:val="14"/>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272F1"/>
    <w:rsid w:val="0003148D"/>
    <w:rsid w:val="00031EEC"/>
    <w:rsid w:val="0004453C"/>
    <w:rsid w:val="00050F8B"/>
    <w:rsid w:val="00051566"/>
    <w:rsid w:val="000562A9"/>
    <w:rsid w:val="00062A9A"/>
    <w:rsid w:val="00063274"/>
    <w:rsid w:val="00065058"/>
    <w:rsid w:val="00065D20"/>
    <w:rsid w:val="0007202B"/>
    <w:rsid w:val="00072650"/>
    <w:rsid w:val="000735EF"/>
    <w:rsid w:val="00086C39"/>
    <w:rsid w:val="00086FC4"/>
    <w:rsid w:val="00094783"/>
    <w:rsid w:val="000A03B2"/>
    <w:rsid w:val="000A14A6"/>
    <w:rsid w:val="000A3E46"/>
    <w:rsid w:val="000A7255"/>
    <w:rsid w:val="000B6622"/>
    <w:rsid w:val="000D0268"/>
    <w:rsid w:val="000D34BE"/>
    <w:rsid w:val="000E102F"/>
    <w:rsid w:val="000E36F1"/>
    <w:rsid w:val="000E3A73"/>
    <w:rsid w:val="000E414A"/>
    <w:rsid w:val="000E5729"/>
    <w:rsid w:val="000E75FD"/>
    <w:rsid w:val="000F093C"/>
    <w:rsid w:val="000F787B"/>
    <w:rsid w:val="00101F02"/>
    <w:rsid w:val="00106950"/>
    <w:rsid w:val="00113BF5"/>
    <w:rsid w:val="0012091F"/>
    <w:rsid w:val="00124AAD"/>
    <w:rsid w:val="00126BC2"/>
    <w:rsid w:val="001308B6"/>
    <w:rsid w:val="0013121F"/>
    <w:rsid w:val="00131FE6"/>
    <w:rsid w:val="0013263F"/>
    <w:rsid w:val="001331DF"/>
    <w:rsid w:val="001339B7"/>
    <w:rsid w:val="00134DE4"/>
    <w:rsid w:val="0014034D"/>
    <w:rsid w:val="00140FE3"/>
    <w:rsid w:val="00144D16"/>
    <w:rsid w:val="00150E59"/>
    <w:rsid w:val="00152DE3"/>
    <w:rsid w:val="00164CF9"/>
    <w:rsid w:val="001667A6"/>
    <w:rsid w:val="00170AD4"/>
    <w:rsid w:val="00177C49"/>
    <w:rsid w:val="00184AD6"/>
    <w:rsid w:val="001A4AF7"/>
    <w:rsid w:val="001A57A4"/>
    <w:rsid w:val="001B0349"/>
    <w:rsid w:val="001B1E93"/>
    <w:rsid w:val="001B65C1"/>
    <w:rsid w:val="001C260F"/>
    <w:rsid w:val="001C33F1"/>
    <w:rsid w:val="001C684B"/>
    <w:rsid w:val="001D0CFB"/>
    <w:rsid w:val="001D21AF"/>
    <w:rsid w:val="001D53FC"/>
    <w:rsid w:val="001D7EA8"/>
    <w:rsid w:val="001F07EF"/>
    <w:rsid w:val="001F42A5"/>
    <w:rsid w:val="001F4318"/>
    <w:rsid w:val="001F61E3"/>
    <w:rsid w:val="001F625A"/>
    <w:rsid w:val="001F7B9D"/>
    <w:rsid w:val="001F7BCA"/>
    <w:rsid w:val="00201C93"/>
    <w:rsid w:val="002224B4"/>
    <w:rsid w:val="00230846"/>
    <w:rsid w:val="002447EF"/>
    <w:rsid w:val="00251550"/>
    <w:rsid w:val="00263B05"/>
    <w:rsid w:val="0027221A"/>
    <w:rsid w:val="0027321A"/>
    <w:rsid w:val="00275607"/>
    <w:rsid w:val="00275B61"/>
    <w:rsid w:val="00276385"/>
    <w:rsid w:val="00280FAF"/>
    <w:rsid w:val="00282656"/>
    <w:rsid w:val="00294385"/>
    <w:rsid w:val="00296B83"/>
    <w:rsid w:val="002B4015"/>
    <w:rsid w:val="002B78CE"/>
    <w:rsid w:val="002C2FB6"/>
    <w:rsid w:val="002E5FA7"/>
    <w:rsid w:val="002F3309"/>
    <w:rsid w:val="003008CE"/>
    <w:rsid w:val="003009B7"/>
    <w:rsid w:val="00300E56"/>
    <w:rsid w:val="0030152C"/>
    <w:rsid w:val="0030469C"/>
    <w:rsid w:val="0030532A"/>
    <w:rsid w:val="00321CA6"/>
    <w:rsid w:val="00323763"/>
    <w:rsid w:val="00323C5F"/>
    <w:rsid w:val="00327B63"/>
    <w:rsid w:val="00334C09"/>
    <w:rsid w:val="00351C61"/>
    <w:rsid w:val="00361C8C"/>
    <w:rsid w:val="003723D4"/>
    <w:rsid w:val="00373D98"/>
    <w:rsid w:val="00381905"/>
    <w:rsid w:val="00384CC8"/>
    <w:rsid w:val="00386402"/>
    <w:rsid w:val="003871FD"/>
    <w:rsid w:val="003A1E30"/>
    <w:rsid w:val="003A2829"/>
    <w:rsid w:val="003A7D1C"/>
    <w:rsid w:val="003B304B"/>
    <w:rsid w:val="003B3146"/>
    <w:rsid w:val="003C065D"/>
    <w:rsid w:val="003C75EE"/>
    <w:rsid w:val="003D1E02"/>
    <w:rsid w:val="003E3CE5"/>
    <w:rsid w:val="003F015E"/>
    <w:rsid w:val="00400414"/>
    <w:rsid w:val="00401A39"/>
    <w:rsid w:val="0041446B"/>
    <w:rsid w:val="0044071E"/>
    <w:rsid w:val="0044329C"/>
    <w:rsid w:val="00453E24"/>
    <w:rsid w:val="00454677"/>
    <w:rsid w:val="004570CC"/>
    <w:rsid w:val="00457456"/>
    <w:rsid w:val="004577FE"/>
    <w:rsid w:val="00457B9C"/>
    <w:rsid w:val="0046164A"/>
    <w:rsid w:val="004628D2"/>
    <w:rsid w:val="00462DCD"/>
    <w:rsid w:val="004648AD"/>
    <w:rsid w:val="004703A9"/>
    <w:rsid w:val="004760DE"/>
    <w:rsid w:val="004763D7"/>
    <w:rsid w:val="00477CEA"/>
    <w:rsid w:val="00482EF2"/>
    <w:rsid w:val="00497D37"/>
    <w:rsid w:val="004A004E"/>
    <w:rsid w:val="004A24CF"/>
    <w:rsid w:val="004A5E57"/>
    <w:rsid w:val="004B0F5A"/>
    <w:rsid w:val="004B0F7F"/>
    <w:rsid w:val="004B5917"/>
    <w:rsid w:val="004C194F"/>
    <w:rsid w:val="004C3D1D"/>
    <w:rsid w:val="004C3D84"/>
    <w:rsid w:val="004C4943"/>
    <w:rsid w:val="004C6095"/>
    <w:rsid w:val="004C7913"/>
    <w:rsid w:val="004E4DD6"/>
    <w:rsid w:val="004F5E36"/>
    <w:rsid w:val="00507B47"/>
    <w:rsid w:val="00507BEF"/>
    <w:rsid w:val="00507CC9"/>
    <w:rsid w:val="005109D0"/>
    <w:rsid w:val="005119A5"/>
    <w:rsid w:val="005145B3"/>
    <w:rsid w:val="005278B7"/>
    <w:rsid w:val="00532016"/>
    <w:rsid w:val="005333D8"/>
    <w:rsid w:val="005346C8"/>
    <w:rsid w:val="00534A47"/>
    <w:rsid w:val="00543E7D"/>
    <w:rsid w:val="00547A68"/>
    <w:rsid w:val="005531C9"/>
    <w:rsid w:val="0056591A"/>
    <w:rsid w:val="00570C43"/>
    <w:rsid w:val="00575A71"/>
    <w:rsid w:val="00581A19"/>
    <w:rsid w:val="00582CD1"/>
    <w:rsid w:val="005844D8"/>
    <w:rsid w:val="00592274"/>
    <w:rsid w:val="005976A9"/>
    <w:rsid w:val="005B1029"/>
    <w:rsid w:val="005B2110"/>
    <w:rsid w:val="005B61E6"/>
    <w:rsid w:val="005C0501"/>
    <w:rsid w:val="005C77E1"/>
    <w:rsid w:val="005D668A"/>
    <w:rsid w:val="005D6A2F"/>
    <w:rsid w:val="005E0592"/>
    <w:rsid w:val="005E1A82"/>
    <w:rsid w:val="005E794C"/>
    <w:rsid w:val="005F0A28"/>
    <w:rsid w:val="005F0E5E"/>
    <w:rsid w:val="005F70B9"/>
    <w:rsid w:val="00600535"/>
    <w:rsid w:val="00601951"/>
    <w:rsid w:val="00610CD6"/>
    <w:rsid w:val="00617176"/>
    <w:rsid w:val="00620DEE"/>
    <w:rsid w:val="00621F92"/>
    <w:rsid w:val="0062280A"/>
    <w:rsid w:val="006231E1"/>
    <w:rsid w:val="00625639"/>
    <w:rsid w:val="00631B33"/>
    <w:rsid w:val="0064184D"/>
    <w:rsid w:val="006422CC"/>
    <w:rsid w:val="00651D18"/>
    <w:rsid w:val="006578E2"/>
    <w:rsid w:val="006608C8"/>
    <w:rsid w:val="00660E3E"/>
    <w:rsid w:val="00662E74"/>
    <w:rsid w:val="0066324B"/>
    <w:rsid w:val="0066435F"/>
    <w:rsid w:val="00664F9F"/>
    <w:rsid w:val="0067073C"/>
    <w:rsid w:val="00677DB4"/>
    <w:rsid w:val="00680C23"/>
    <w:rsid w:val="00683E23"/>
    <w:rsid w:val="00693766"/>
    <w:rsid w:val="006A3281"/>
    <w:rsid w:val="006B30F5"/>
    <w:rsid w:val="006B4888"/>
    <w:rsid w:val="006B7837"/>
    <w:rsid w:val="006C2E45"/>
    <w:rsid w:val="006C359C"/>
    <w:rsid w:val="006C5579"/>
    <w:rsid w:val="006D6E8B"/>
    <w:rsid w:val="006D7209"/>
    <w:rsid w:val="006E623D"/>
    <w:rsid w:val="006E737D"/>
    <w:rsid w:val="006F2DF7"/>
    <w:rsid w:val="00701BB3"/>
    <w:rsid w:val="00707DD1"/>
    <w:rsid w:val="00711B96"/>
    <w:rsid w:val="00713973"/>
    <w:rsid w:val="00720A24"/>
    <w:rsid w:val="0072148B"/>
    <w:rsid w:val="00732386"/>
    <w:rsid w:val="0073514D"/>
    <w:rsid w:val="00743BF3"/>
    <w:rsid w:val="007447F3"/>
    <w:rsid w:val="0075499F"/>
    <w:rsid w:val="00755E6E"/>
    <w:rsid w:val="007617CC"/>
    <w:rsid w:val="00765DF0"/>
    <w:rsid w:val="007661C8"/>
    <w:rsid w:val="0077098D"/>
    <w:rsid w:val="00775E3B"/>
    <w:rsid w:val="00785BF9"/>
    <w:rsid w:val="0079205E"/>
    <w:rsid w:val="007931FA"/>
    <w:rsid w:val="007A4861"/>
    <w:rsid w:val="007A7BBA"/>
    <w:rsid w:val="007B0C50"/>
    <w:rsid w:val="007B3FE4"/>
    <w:rsid w:val="007B48F9"/>
    <w:rsid w:val="007C1A43"/>
    <w:rsid w:val="007C6AA8"/>
    <w:rsid w:val="007D0951"/>
    <w:rsid w:val="007D79DA"/>
    <w:rsid w:val="007E7F29"/>
    <w:rsid w:val="007F27C8"/>
    <w:rsid w:val="0080013E"/>
    <w:rsid w:val="008026AC"/>
    <w:rsid w:val="00803CEA"/>
    <w:rsid w:val="00807FF5"/>
    <w:rsid w:val="008108C2"/>
    <w:rsid w:val="00813288"/>
    <w:rsid w:val="008168FC"/>
    <w:rsid w:val="008211EA"/>
    <w:rsid w:val="00830996"/>
    <w:rsid w:val="008314D7"/>
    <w:rsid w:val="008345F1"/>
    <w:rsid w:val="00842A02"/>
    <w:rsid w:val="00865B07"/>
    <w:rsid w:val="008667EA"/>
    <w:rsid w:val="008736DD"/>
    <w:rsid w:val="008750A6"/>
    <w:rsid w:val="0087637F"/>
    <w:rsid w:val="0088631B"/>
    <w:rsid w:val="00891AFD"/>
    <w:rsid w:val="00892AD5"/>
    <w:rsid w:val="00895B9F"/>
    <w:rsid w:val="008A1512"/>
    <w:rsid w:val="008B752F"/>
    <w:rsid w:val="008D32B9"/>
    <w:rsid w:val="008D433B"/>
    <w:rsid w:val="008D4A16"/>
    <w:rsid w:val="008E209A"/>
    <w:rsid w:val="008E44AA"/>
    <w:rsid w:val="008E45BC"/>
    <w:rsid w:val="008E566E"/>
    <w:rsid w:val="008E7769"/>
    <w:rsid w:val="008F2784"/>
    <w:rsid w:val="0090161A"/>
    <w:rsid w:val="00901631"/>
    <w:rsid w:val="00901EB6"/>
    <w:rsid w:val="009041F8"/>
    <w:rsid w:val="00904C62"/>
    <w:rsid w:val="009134D2"/>
    <w:rsid w:val="00913C91"/>
    <w:rsid w:val="00920FA7"/>
    <w:rsid w:val="00922BA8"/>
    <w:rsid w:val="009235E1"/>
    <w:rsid w:val="00924DAC"/>
    <w:rsid w:val="00927058"/>
    <w:rsid w:val="00937345"/>
    <w:rsid w:val="00941CDE"/>
    <w:rsid w:val="00942750"/>
    <w:rsid w:val="009438A6"/>
    <w:rsid w:val="009450CE"/>
    <w:rsid w:val="009459BB"/>
    <w:rsid w:val="00947179"/>
    <w:rsid w:val="0095164B"/>
    <w:rsid w:val="00954090"/>
    <w:rsid w:val="009573E7"/>
    <w:rsid w:val="00957691"/>
    <w:rsid w:val="00963E05"/>
    <w:rsid w:val="00964A45"/>
    <w:rsid w:val="00967843"/>
    <w:rsid w:val="00967D54"/>
    <w:rsid w:val="00971028"/>
    <w:rsid w:val="00993B84"/>
    <w:rsid w:val="00996483"/>
    <w:rsid w:val="00996F5A"/>
    <w:rsid w:val="009A0764"/>
    <w:rsid w:val="009B041A"/>
    <w:rsid w:val="009C2749"/>
    <w:rsid w:val="009C37C3"/>
    <w:rsid w:val="009C7C86"/>
    <w:rsid w:val="009D1C8A"/>
    <w:rsid w:val="009D2FF7"/>
    <w:rsid w:val="009E7884"/>
    <w:rsid w:val="009E788A"/>
    <w:rsid w:val="009F0E08"/>
    <w:rsid w:val="00A079AE"/>
    <w:rsid w:val="00A1763D"/>
    <w:rsid w:val="00A17CEC"/>
    <w:rsid w:val="00A20A9B"/>
    <w:rsid w:val="00A26CBB"/>
    <w:rsid w:val="00A27497"/>
    <w:rsid w:val="00A27EF0"/>
    <w:rsid w:val="00A42361"/>
    <w:rsid w:val="00A50B20"/>
    <w:rsid w:val="00A51390"/>
    <w:rsid w:val="00A520BF"/>
    <w:rsid w:val="00A56DA0"/>
    <w:rsid w:val="00A60D13"/>
    <w:rsid w:val="00A71EBC"/>
    <w:rsid w:val="00A7223D"/>
    <w:rsid w:val="00A72745"/>
    <w:rsid w:val="00A7532A"/>
    <w:rsid w:val="00A76EFC"/>
    <w:rsid w:val="00A77F4E"/>
    <w:rsid w:val="00A87D50"/>
    <w:rsid w:val="00A91010"/>
    <w:rsid w:val="00A9314D"/>
    <w:rsid w:val="00A95366"/>
    <w:rsid w:val="00A97F29"/>
    <w:rsid w:val="00AA702E"/>
    <w:rsid w:val="00AA7D26"/>
    <w:rsid w:val="00AB0964"/>
    <w:rsid w:val="00AB5011"/>
    <w:rsid w:val="00AC7368"/>
    <w:rsid w:val="00AD0278"/>
    <w:rsid w:val="00AD16B9"/>
    <w:rsid w:val="00AE372A"/>
    <w:rsid w:val="00AE377D"/>
    <w:rsid w:val="00AF0EBA"/>
    <w:rsid w:val="00AF455F"/>
    <w:rsid w:val="00B02C8A"/>
    <w:rsid w:val="00B12D65"/>
    <w:rsid w:val="00B15920"/>
    <w:rsid w:val="00B17FBD"/>
    <w:rsid w:val="00B238F8"/>
    <w:rsid w:val="00B315A6"/>
    <w:rsid w:val="00B31813"/>
    <w:rsid w:val="00B33365"/>
    <w:rsid w:val="00B410E7"/>
    <w:rsid w:val="00B434B1"/>
    <w:rsid w:val="00B448A6"/>
    <w:rsid w:val="00B45904"/>
    <w:rsid w:val="00B57B36"/>
    <w:rsid w:val="00B57E6F"/>
    <w:rsid w:val="00B75F24"/>
    <w:rsid w:val="00B8686D"/>
    <w:rsid w:val="00B93F69"/>
    <w:rsid w:val="00BA04AD"/>
    <w:rsid w:val="00BB1DDC"/>
    <w:rsid w:val="00BB621B"/>
    <w:rsid w:val="00BC1C49"/>
    <w:rsid w:val="00BC30C9"/>
    <w:rsid w:val="00BD077D"/>
    <w:rsid w:val="00BE3E58"/>
    <w:rsid w:val="00C01616"/>
    <w:rsid w:val="00C0162B"/>
    <w:rsid w:val="00C068ED"/>
    <w:rsid w:val="00C1169C"/>
    <w:rsid w:val="00C208E9"/>
    <w:rsid w:val="00C22E0C"/>
    <w:rsid w:val="00C32044"/>
    <w:rsid w:val="00C345B1"/>
    <w:rsid w:val="00C40142"/>
    <w:rsid w:val="00C479FC"/>
    <w:rsid w:val="00C52C3C"/>
    <w:rsid w:val="00C57182"/>
    <w:rsid w:val="00C57863"/>
    <w:rsid w:val="00C640AF"/>
    <w:rsid w:val="00C655FD"/>
    <w:rsid w:val="00C75407"/>
    <w:rsid w:val="00C841C6"/>
    <w:rsid w:val="00C870A8"/>
    <w:rsid w:val="00C92442"/>
    <w:rsid w:val="00C94434"/>
    <w:rsid w:val="00CA0D75"/>
    <w:rsid w:val="00CA1C95"/>
    <w:rsid w:val="00CA5A9C"/>
    <w:rsid w:val="00CA668A"/>
    <w:rsid w:val="00CB2614"/>
    <w:rsid w:val="00CC404A"/>
    <w:rsid w:val="00CC4C20"/>
    <w:rsid w:val="00CD0E61"/>
    <w:rsid w:val="00CD3517"/>
    <w:rsid w:val="00CD5FE2"/>
    <w:rsid w:val="00CE12D8"/>
    <w:rsid w:val="00CE7C68"/>
    <w:rsid w:val="00CF69A8"/>
    <w:rsid w:val="00D02B4C"/>
    <w:rsid w:val="00D040C4"/>
    <w:rsid w:val="00D11F88"/>
    <w:rsid w:val="00D20AD1"/>
    <w:rsid w:val="00D228E4"/>
    <w:rsid w:val="00D22D04"/>
    <w:rsid w:val="00D2582C"/>
    <w:rsid w:val="00D45DC2"/>
    <w:rsid w:val="00D46B7E"/>
    <w:rsid w:val="00D50FD1"/>
    <w:rsid w:val="00D549E2"/>
    <w:rsid w:val="00D57C84"/>
    <w:rsid w:val="00D6057D"/>
    <w:rsid w:val="00D71640"/>
    <w:rsid w:val="00D836C5"/>
    <w:rsid w:val="00D84576"/>
    <w:rsid w:val="00D85722"/>
    <w:rsid w:val="00D879C6"/>
    <w:rsid w:val="00DA1399"/>
    <w:rsid w:val="00DA24C6"/>
    <w:rsid w:val="00DA4D7B"/>
    <w:rsid w:val="00DA6304"/>
    <w:rsid w:val="00DD271C"/>
    <w:rsid w:val="00DD35F7"/>
    <w:rsid w:val="00DD5270"/>
    <w:rsid w:val="00DE264A"/>
    <w:rsid w:val="00DF5072"/>
    <w:rsid w:val="00E02D18"/>
    <w:rsid w:val="00E03FA7"/>
    <w:rsid w:val="00E041E7"/>
    <w:rsid w:val="00E145BE"/>
    <w:rsid w:val="00E2019E"/>
    <w:rsid w:val="00E23CA1"/>
    <w:rsid w:val="00E24EE1"/>
    <w:rsid w:val="00E37CC4"/>
    <w:rsid w:val="00E409A8"/>
    <w:rsid w:val="00E4133C"/>
    <w:rsid w:val="00E47D61"/>
    <w:rsid w:val="00E50C12"/>
    <w:rsid w:val="00E65B91"/>
    <w:rsid w:val="00E7209D"/>
    <w:rsid w:val="00E72EAD"/>
    <w:rsid w:val="00E77223"/>
    <w:rsid w:val="00E8528B"/>
    <w:rsid w:val="00E85B94"/>
    <w:rsid w:val="00E901C3"/>
    <w:rsid w:val="00E944E2"/>
    <w:rsid w:val="00E978D0"/>
    <w:rsid w:val="00EA4613"/>
    <w:rsid w:val="00EA7F91"/>
    <w:rsid w:val="00EB1523"/>
    <w:rsid w:val="00EB514C"/>
    <w:rsid w:val="00EC0E49"/>
    <w:rsid w:val="00EC101F"/>
    <w:rsid w:val="00EC1D9F"/>
    <w:rsid w:val="00ED4769"/>
    <w:rsid w:val="00ED6937"/>
    <w:rsid w:val="00EE0131"/>
    <w:rsid w:val="00EE17B0"/>
    <w:rsid w:val="00EE45F8"/>
    <w:rsid w:val="00EF06D9"/>
    <w:rsid w:val="00EF0982"/>
    <w:rsid w:val="00F126A5"/>
    <w:rsid w:val="00F3049E"/>
    <w:rsid w:val="00F30C64"/>
    <w:rsid w:val="00F32BA2"/>
    <w:rsid w:val="00F32CDB"/>
    <w:rsid w:val="00F3348F"/>
    <w:rsid w:val="00F37280"/>
    <w:rsid w:val="00F41EE4"/>
    <w:rsid w:val="00F565FE"/>
    <w:rsid w:val="00F63A70"/>
    <w:rsid w:val="00F63D8C"/>
    <w:rsid w:val="00F65034"/>
    <w:rsid w:val="00F7051F"/>
    <w:rsid w:val="00F752A1"/>
    <w:rsid w:val="00F7534E"/>
    <w:rsid w:val="00F93EDF"/>
    <w:rsid w:val="00FA133E"/>
    <w:rsid w:val="00FA1802"/>
    <w:rsid w:val="00FA21D0"/>
    <w:rsid w:val="00FA5F5F"/>
    <w:rsid w:val="00FA7898"/>
    <w:rsid w:val="00FB257E"/>
    <w:rsid w:val="00FB3B37"/>
    <w:rsid w:val="00FB730C"/>
    <w:rsid w:val="00FC2695"/>
    <w:rsid w:val="00FC3E03"/>
    <w:rsid w:val="00FC3FC1"/>
    <w:rsid w:val="00FD13FD"/>
    <w:rsid w:val="00FE22F4"/>
    <w:rsid w:val="00FE5704"/>
    <w:rsid w:val="00FF1E0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2AE0CC22"/>
  <w14:defaultImageDpi w14:val="330"/>
  <w15:docId w15:val="{8FB244C4-0D1D-429E-8FFC-CA8146AD1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ET Top_page"/>
    <w:qFormat/>
    <w:rsid w:val="0072148B"/>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CETHeading1"/>
    <w:next w:val="Normal"/>
    <w:link w:val="Ttulo1Car"/>
    <w:uiPriority w:val="9"/>
    <w:rsid w:val="004F5E36"/>
    <w:pPr>
      <w:tabs>
        <w:tab w:val="clear" w:pos="360"/>
        <w:tab w:val="right" w:pos="7100"/>
      </w:tabs>
      <w:jc w:val="both"/>
      <w:outlineLvl w:val="0"/>
    </w:pPr>
    <w:rPr>
      <w:lang w:val="en-GB"/>
    </w:rPr>
  </w:style>
  <w:style w:type="paragraph" w:styleId="Ttulo2">
    <w:name w:val="heading 2"/>
    <w:basedOn w:val="Normal"/>
    <w:next w:val="Normal"/>
    <w:link w:val="Ttulo2Car"/>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Ttulo9">
    <w:name w:val="heading 9"/>
    <w:basedOn w:val="Normal"/>
    <w:next w:val="Normal"/>
    <w:link w:val="Ttulo9Car"/>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Tablabsica1">
    <w:name w:val="Table Simple 1"/>
    <w:basedOn w:val="Tablanormal"/>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Refdecomentario">
    <w:name w:val="annotation reference"/>
    <w:basedOn w:val="Fuentedeprrafopredeter"/>
    <w:uiPriority w:val="99"/>
    <w:semiHidden/>
    <w:unhideWhenUsed/>
    <w:rsid w:val="004577FE"/>
    <w:rPr>
      <w:sz w:val="16"/>
      <w:szCs w:val="16"/>
    </w:rPr>
  </w:style>
  <w:style w:type="paragraph" w:styleId="Textodeglobo">
    <w:name w:val="Balloon Text"/>
    <w:basedOn w:val="Normal"/>
    <w:link w:val="TextodegloboCar"/>
    <w:uiPriority w:val="99"/>
    <w:semiHidden/>
    <w:unhideWhenUsed/>
    <w:rsid w:val="000D34BE"/>
    <w:rPr>
      <w:rFonts w:ascii="Tahoma" w:hAnsi="Tahoma" w:cs="Tahoma"/>
      <w:sz w:val="16"/>
      <w:szCs w:val="16"/>
    </w:rPr>
  </w:style>
  <w:style w:type="character" w:customStyle="1" w:styleId="TextodegloboCar">
    <w:name w:val="Texto de globo Car"/>
    <w:basedOn w:val="Fuentedeprrafopredeter"/>
    <w:link w:val="Textodeglobo"/>
    <w:uiPriority w:val="99"/>
    <w:semiHidden/>
    <w:rsid w:val="000D34BE"/>
    <w:rPr>
      <w:rFonts w:ascii="Tahoma" w:hAnsi="Tahoma" w:cs="Tahoma"/>
      <w:sz w:val="16"/>
      <w:szCs w:val="16"/>
    </w:rPr>
  </w:style>
  <w:style w:type="paragraph" w:styleId="Bibliografa">
    <w:name w:val="Bibliography"/>
    <w:basedOn w:val="CETReferencetext"/>
    <w:uiPriority w:val="37"/>
    <w:unhideWhenUsed/>
    <w:rsid w:val="00631B33"/>
    <w:pPr>
      <w:spacing w:line="240" w:lineRule="auto"/>
      <w:ind w:left="720" w:hanging="720"/>
    </w:pPr>
  </w:style>
  <w:style w:type="paragraph" w:styleId="Textoindependiente2">
    <w:name w:val="Body Text 2"/>
    <w:basedOn w:val="Normal"/>
    <w:link w:val="Textoindependiente2Car"/>
    <w:uiPriority w:val="99"/>
    <w:semiHidden/>
    <w:unhideWhenUsed/>
    <w:rsid w:val="0003148D"/>
    <w:pPr>
      <w:spacing w:after="120" w:line="480" w:lineRule="auto"/>
    </w:pPr>
  </w:style>
  <w:style w:type="character" w:customStyle="1" w:styleId="Textoindependiente2Car">
    <w:name w:val="Texto independiente 2 Car"/>
    <w:basedOn w:val="Fuentedeprrafopredeter"/>
    <w:link w:val="Textoindependiente2"/>
    <w:uiPriority w:val="99"/>
    <w:semiHidden/>
    <w:rsid w:val="0003148D"/>
  </w:style>
  <w:style w:type="paragraph" w:styleId="Textoindependiente3">
    <w:name w:val="Body Text 3"/>
    <w:basedOn w:val="Normal"/>
    <w:link w:val="Textoindependiente3Car"/>
    <w:uiPriority w:val="99"/>
    <w:semiHidden/>
    <w:unhideWhenUsed/>
    <w:rsid w:val="0003148D"/>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03148D"/>
    <w:rPr>
      <w:sz w:val="16"/>
      <w:szCs w:val="16"/>
    </w:rPr>
  </w:style>
  <w:style w:type="paragraph" w:styleId="Textoindependiente">
    <w:name w:val="Body Text"/>
    <w:basedOn w:val="Normal"/>
    <w:link w:val="TextoindependienteCar"/>
    <w:uiPriority w:val="99"/>
    <w:semiHidden/>
    <w:unhideWhenUsed/>
    <w:rsid w:val="0003148D"/>
    <w:pPr>
      <w:tabs>
        <w:tab w:val="right" w:pos="7100"/>
      </w:tabs>
      <w:spacing w:after="120" w:line="264" w:lineRule="auto"/>
      <w:jc w:val="both"/>
    </w:pPr>
    <w:rPr>
      <w:rFonts w:ascii="Arial" w:hAnsi="Arial"/>
      <w:sz w:val="18"/>
      <w:szCs w:val="20"/>
      <w:lang w:val="en-GB" w:eastAsia="en-US"/>
    </w:rPr>
  </w:style>
  <w:style w:type="character" w:customStyle="1" w:styleId="TextoindependienteCar">
    <w:name w:val="Texto independiente Car"/>
    <w:basedOn w:val="Fuentedeprrafopredeter"/>
    <w:link w:val="Textoindependiente"/>
    <w:uiPriority w:val="99"/>
    <w:semiHidden/>
    <w:rsid w:val="0003148D"/>
  </w:style>
  <w:style w:type="paragraph" w:styleId="Fecha">
    <w:name w:val="Date"/>
    <w:basedOn w:val="Normal"/>
    <w:next w:val="Normal"/>
    <w:link w:val="FechaCar"/>
    <w:uiPriority w:val="99"/>
    <w:semiHidden/>
    <w:unhideWhenUsed/>
    <w:rsid w:val="0003148D"/>
  </w:style>
  <w:style w:type="character" w:customStyle="1" w:styleId="FechaCar">
    <w:name w:val="Fecha Car"/>
    <w:basedOn w:val="Fuentedeprrafopredeter"/>
    <w:link w:val="Fecha"/>
    <w:uiPriority w:val="99"/>
    <w:semiHidden/>
    <w:rsid w:val="0003148D"/>
  </w:style>
  <w:style w:type="paragraph" w:styleId="Descripcin">
    <w:name w:val="caption"/>
    <w:basedOn w:val="Normal"/>
    <w:next w:val="Normal"/>
    <w:uiPriority w:val="35"/>
    <w:semiHidden/>
    <w:unhideWhenUsed/>
    <w:qFormat/>
    <w:rsid w:val="0003148D"/>
    <w:rPr>
      <w:b/>
      <w:bCs/>
      <w:color w:val="4F81BD" w:themeColor="accent1"/>
      <w:szCs w:val="18"/>
    </w:rPr>
  </w:style>
  <w:style w:type="paragraph" w:styleId="Lista">
    <w:name w:val="List"/>
    <w:basedOn w:val="Normal"/>
    <w:uiPriority w:val="99"/>
    <w:semiHidden/>
    <w:unhideWhenUsed/>
    <w:rsid w:val="0003148D"/>
    <w:pPr>
      <w:tabs>
        <w:tab w:val="right" w:pos="7100"/>
      </w:tabs>
      <w:spacing w:line="264" w:lineRule="auto"/>
      <w:ind w:left="283" w:hanging="283"/>
      <w:contextualSpacing/>
      <w:jc w:val="both"/>
    </w:pPr>
    <w:rPr>
      <w:rFonts w:ascii="Arial" w:hAnsi="Arial"/>
      <w:sz w:val="18"/>
      <w:szCs w:val="20"/>
      <w:lang w:val="en-GB" w:eastAsia="en-US"/>
    </w:rPr>
  </w:style>
  <w:style w:type="paragraph" w:styleId="Lista2">
    <w:name w:val="List 2"/>
    <w:basedOn w:val="Normal"/>
    <w:uiPriority w:val="99"/>
    <w:semiHidden/>
    <w:unhideWhenUsed/>
    <w:rsid w:val="0003148D"/>
    <w:pPr>
      <w:ind w:left="566" w:hanging="283"/>
      <w:contextualSpacing/>
    </w:pPr>
  </w:style>
  <w:style w:type="paragraph" w:styleId="Lista3">
    <w:name w:val="List 3"/>
    <w:basedOn w:val="Normal"/>
    <w:uiPriority w:val="99"/>
    <w:semiHidden/>
    <w:unhideWhenUsed/>
    <w:rsid w:val="0003148D"/>
    <w:pPr>
      <w:ind w:left="849" w:hanging="283"/>
      <w:contextualSpacing/>
    </w:pPr>
  </w:style>
  <w:style w:type="paragraph" w:styleId="Lista4">
    <w:name w:val="List 4"/>
    <w:basedOn w:val="Normal"/>
    <w:uiPriority w:val="99"/>
    <w:semiHidden/>
    <w:unhideWhenUsed/>
    <w:rsid w:val="0003148D"/>
    <w:pPr>
      <w:ind w:left="1132" w:hanging="283"/>
      <w:contextualSpacing/>
    </w:pPr>
  </w:style>
  <w:style w:type="paragraph" w:styleId="Lista5">
    <w:name w:val="List 5"/>
    <w:basedOn w:val="Normal"/>
    <w:uiPriority w:val="99"/>
    <w:semiHidden/>
    <w:unhideWhenUsed/>
    <w:rsid w:val="0003148D"/>
    <w:pPr>
      <w:ind w:left="1415" w:hanging="283"/>
      <w:contextualSpacing/>
    </w:pPr>
  </w:style>
  <w:style w:type="paragraph" w:styleId="Continuarlista">
    <w:name w:val="List Continue"/>
    <w:basedOn w:val="Normal"/>
    <w:uiPriority w:val="99"/>
    <w:semiHidden/>
    <w:unhideWhenUsed/>
    <w:rsid w:val="0003148D"/>
    <w:pPr>
      <w:spacing w:after="120"/>
      <w:ind w:left="283"/>
      <w:contextualSpacing/>
    </w:pPr>
  </w:style>
  <w:style w:type="paragraph" w:styleId="Continuarlista2">
    <w:name w:val="List Continue 2"/>
    <w:basedOn w:val="Normal"/>
    <w:uiPriority w:val="99"/>
    <w:semiHidden/>
    <w:unhideWhenUsed/>
    <w:rsid w:val="0003148D"/>
    <w:pPr>
      <w:spacing w:after="120"/>
      <w:ind w:left="566"/>
      <w:contextualSpacing/>
    </w:pPr>
  </w:style>
  <w:style w:type="paragraph" w:styleId="Continuarlista3">
    <w:name w:val="List Continue 3"/>
    <w:basedOn w:val="Normal"/>
    <w:uiPriority w:val="99"/>
    <w:semiHidden/>
    <w:unhideWhenUsed/>
    <w:rsid w:val="0003148D"/>
    <w:pPr>
      <w:spacing w:after="120"/>
      <w:ind w:left="849"/>
      <w:contextualSpacing/>
    </w:pPr>
  </w:style>
  <w:style w:type="paragraph" w:styleId="Continuarlista4">
    <w:name w:val="List Continue 4"/>
    <w:basedOn w:val="Normal"/>
    <w:uiPriority w:val="99"/>
    <w:semiHidden/>
    <w:unhideWhenUsed/>
    <w:rsid w:val="0003148D"/>
    <w:pPr>
      <w:spacing w:after="120"/>
      <w:ind w:left="1132"/>
      <w:contextualSpacing/>
    </w:pPr>
  </w:style>
  <w:style w:type="paragraph" w:styleId="Continuarlista5">
    <w:name w:val="List Continue 5"/>
    <w:basedOn w:val="Normal"/>
    <w:uiPriority w:val="99"/>
    <w:semiHidden/>
    <w:unhideWhenUsed/>
    <w:rsid w:val="0003148D"/>
    <w:pPr>
      <w:spacing w:after="120"/>
      <w:ind w:left="1415"/>
      <w:contextualSpacing/>
    </w:pPr>
  </w:style>
  <w:style w:type="paragraph" w:styleId="Firma">
    <w:name w:val="Signature"/>
    <w:basedOn w:val="Normal"/>
    <w:link w:val="FirmaCar"/>
    <w:uiPriority w:val="99"/>
    <w:semiHidden/>
    <w:unhideWhenUsed/>
    <w:rsid w:val="0003148D"/>
    <w:pPr>
      <w:ind w:left="4252"/>
    </w:pPr>
  </w:style>
  <w:style w:type="character" w:customStyle="1" w:styleId="FirmaCar">
    <w:name w:val="Firma Car"/>
    <w:basedOn w:val="Fuentedeprrafopredeter"/>
    <w:link w:val="Firma"/>
    <w:uiPriority w:val="99"/>
    <w:semiHidden/>
    <w:rsid w:val="0003148D"/>
  </w:style>
  <w:style w:type="paragraph" w:styleId="Firmadecorreoelectrnico">
    <w:name w:val="E-mail Signature"/>
    <w:basedOn w:val="Normal"/>
    <w:link w:val="FirmadecorreoelectrnicoCar"/>
    <w:uiPriority w:val="99"/>
    <w:semiHidden/>
    <w:unhideWhenUsed/>
    <w:rsid w:val="0003148D"/>
  </w:style>
  <w:style w:type="character" w:customStyle="1" w:styleId="FirmadecorreoelectrnicoCar">
    <w:name w:val="Firma de correo electrónico Car"/>
    <w:basedOn w:val="Fuentedeprrafopredeter"/>
    <w:link w:val="Firmadecorreoelectrnico"/>
    <w:uiPriority w:val="99"/>
    <w:semiHidden/>
    <w:rsid w:val="0003148D"/>
  </w:style>
  <w:style w:type="paragraph" w:styleId="Saludo">
    <w:name w:val="Salutation"/>
    <w:basedOn w:val="Normal"/>
    <w:next w:val="Normal"/>
    <w:link w:val="SaludoCar"/>
    <w:uiPriority w:val="99"/>
    <w:semiHidden/>
    <w:unhideWhenUsed/>
    <w:rsid w:val="0003148D"/>
  </w:style>
  <w:style w:type="character" w:customStyle="1" w:styleId="SaludoCar">
    <w:name w:val="Saludo Car"/>
    <w:basedOn w:val="Fuentedeprrafopredeter"/>
    <w:link w:val="Saludo"/>
    <w:uiPriority w:val="99"/>
    <w:semiHidden/>
    <w:rsid w:val="0003148D"/>
  </w:style>
  <w:style w:type="paragraph" w:styleId="Cierre">
    <w:name w:val="Closing"/>
    <w:basedOn w:val="Normal"/>
    <w:link w:val="CierreCar"/>
    <w:uiPriority w:val="99"/>
    <w:semiHidden/>
    <w:unhideWhenUsed/>
    <w:rsid w:val="0003148D"/>
    <w:pPr>
      <w:ind w:left="4252"/>
    </w:pPr>
  </w:style>
  <w:style w:type="character" w:customStyle="1" w:styleId="CierreCar">
    <w:name w:val="Cierre Car"/>
    <w:basedOn w:val="Fuentedeprrafopredeter"/>
    <w:link w:val="Cierre"/>
    <w:uiPriority w:val="99"/>
    <w:semiHidden/>
    <w:rsid w:val="0003148D"/>
  </w:style>
  <w:style w:type="paragraph" w:styleId="ndice1">
    <w:name w:val="index 1"/>
    <w:basedOn w:val="Normal"/>
    <w:next w:val="Normal"/>
    <w:autoRedefine/>
    <w:uiPriority w:val="99"/>
    <w:semiHidden/>
    <w:unhideWhenUsed/>
    <w:rsid w:val="0003148D"/>
    <w:pPr>
      <w:tabs>
        <w:tab w:val="right" w:pos="7100"/>
      </w:tabs>
      <w:ind w:left="220" w:hanging="220"/>
      <w:jc w:val="both"/>
    </w:pPr>
    <w:rPr>
      <w:rFonts w:ascii="Arial" w:hAnsi="Arial"/>
      <w:sz w:val="18"/>
      <w:szCs w:val="20"/>
      <w:lang w:val="en-GB" w:eastAsia="en-US"/>
    </w:rPr>
  </w:style>
  <w:style w:type="paragraph" w:styleId="ndice2">
    <w:name w:val="index 2"/>
    <w:basedOn w:val="Normal"/>
    <w:next w:val="Normal"/>
    <w:autoRedefine/>
    <w:uiPriority w:val="99"/>
    <w:semiHidden/>
    <w:unhideWhenUsed/>
    <w:rsid w:val="0003148D"/>
    <w:pPr>
      <w:ind w:left="440" w:hanging="220"/>
    </w:pPr>
  </w:style>
  <w:style w:type="paragraph" w:styleId="ndice3">
    <w:name w:val="index 3"/>
    <w:basedOn w:val="Normal"/>
    <w:next w:val="Normal"/>
    <w:autoRedefine/>
    <w:uiPriority w:val="99"/>
    <w:semiHidden/>
    <w:unhideWhenUsed/>
    <w:rsid w:val="0003148D"/>
    <w:pPr>
      <w:ind w:left="660" w:hanging="220"/>
    </w:pPr>
  </w:style>
  <w:style w:type="paragraph" w:styleId="ndice4">
    <w:name w:val="index 4"/>
    <w:basedOn w:val="Normal"/>
    <w:next w:val="Normal"/>
    <w:autoRedefine/>
    <w:uiPriority w:val="99"/>
    <w:semiHidden/>
    <w:unhideWhenUsed/>
    <w:rsid w:val="0003148D"/>
    <w:pPr>
      <w:ind w:left="880" w:hanging="220"/>
    </w:pPr>
  </w:style>
  <w:style w:type="paragraph" w:styleId="ndice5">
    <w:name w:val="index 5"/>
    <w:basedOn w:val="Normal"/>
    <w:next w:val="Normal"/>
    <w:autoRedefine/>
    <w:uiPriority w:val="99"/>
    <w:semiHidden/>
    <w:unhideWhenUsed/>
    <w:rsid w:val="0003148D"/>
    <w:pPr>
      <w:ind w:left="1100" w:hanging="220"/>
    </w:pPr>
  </w:style>
  <w:style w:type="paragraph" w:styleId="ndice6">
    <w:name w:val="index 6"/>
    <w:basedOn w:val="Normal"/>
    <w:next w:val="Normal"/>
    <w:autoRedefine/>
    <w:uiPriority w:val="99"/>
    <w:semiHidden/>
    <w:unhideWhenUsed/>
    <w:rsid w:val="0003148D"/>
    <w:pPr>
      <w:ind w:left="1320" w:hanging="220"/>
    </w:pPr>
  </w:style>
  <w:style w:type="paragraph" w:styleId="ndice7">
    <w:name w:val="index 7"/>
    <w:basedOn w:val="Normal"/>
    <w:next w:val="Normal"/>
    <w:autoRedefine/>
    <w:uiPriority w:val="99"/>
    <w:semiHidden/>
    <w:unhideWhenUsed/>
    <w:rsid w:val="0003148D"/>
    <w:pPr>
      <w:ind w:left="1540" w:hanging="220"/>
    </w:pPr>
  </w:style>
  <w:style w:type="paragraph" w:styleId="ndice8">
    <w:name w:val="index 8"/>
    <w:basedOn w:val="Normal"/>
    <w:next w:val="Normal"/>
    <w:autoRedefine/>
    <w:uiPriority w:val="99"/>
    <w:semiHidden/>
    <w:unhideWhenUsed/>
    <w:rsid w:val="0003148D"/>
    <w:pPr>
      <w:ind w:left="1760" w:hanging="220"/>
    </w:pPr>
  </w:style>
  <w:style w:type="paragraph" w:styleId="ndice9">
    <w:name w:val="index 9"/>
    <w:basedOn w:val="Normal"/>
    <w:next w:val="Normal"/>
    <w:autoRedefine/>
    <w:uiPriority w:val="99"/>
    <w:semiHidden/>
    <w:unhideWhenUsed/>
    <w:rsid w:val="0003148D"/>
    <w:pPr>
      <w:ind w:left="1980" w:hanging="220"/>
    </w:pPr>
  </w:style>
  <w:style w:type="paragraph" w:styleId="Tabladeilustraciones">
    <w:name w:val="table of figures"/>
    <w:basedOn w:val="Normal"/>
    <w:next w:val="Normal"/>
    <w:uiPriority w:val="99"/>
    <w:semiHidden/>
    <w:unhideWhenUsed/>
    <w:rsid w:val="0003148D"/>
  </w:style>
  <w:style w:type="paragraph" w:styleId="Textoconsangra">
    <w:name w:val="table of authorities"/>
    <w:basedOn w:val="Normal"/>
    <w:next w:val="Normal"/>
    <w:uiPriority w:val="99"/>
    <w:semiHidden/>
    <w:unhideWhenUsed/>
    <w:rsid w:val="0003148D"/>
    <w:pPr>
      <w:ind w:left="220" w:hanging="220"/>
    </w:pPr>
  </w:style>
  <w:style w:type="paragraph" w:styleId="Direccinsobre">
    <w:name w:val="envelope address"/>
    <w:basedOn w:val="Normal"/>
    <w:uiPriority w:val="99"/>
    <w:semiHidden/>
    <w:unhideWhenUsed/>
    <w:rsid w:val="0003148D"/>
    <w:pPr>
      <w:framePr w:w="7920" w:h="1980" w:hRule="exact" w:hSpace="180" w:wrap="auto" w:hAnchor="page" w:xAlign="center" w:yAlign="bottom"/>
      <w:tabs>
        <w:tab w:val="right" w:pos="7100"/>
      </w:tabs>
      <w:ind w:left="2880"/>
      <w:jc w:val="both"/>
    </w:pPr>
    <w:rPr>
      <w:rFonts w:asciiTheme="majorHAnsi" w:eastAsiaTheme="majorEastAsia" w:hAnsiTheme="majorHAnsi" w:cstheme="majorBidi"/>
      <w:lang w:val="en-GB" w:eastAsia="en-US"/>
    </w:rPr>
  </w:style>
  <w:style w:type="paragraph" w:styleId="DireccinHTML">
    <w:name w:val="HTML Address"/>
    <w:basedOn w:val="Normal"/>
    <w:link w:val="DireccinHTMLCar"/>
    <w:uiPriority w:val="99"/>
    <w:semiHidden/>
    <w:unhideWhenUsed/>
    <w:rsid w:val="0003148D"/>
    <w:rPr>
      <w:i/>
      <w:iCs/>
    </w:rPr>
  </w:style>
  <w:style w:type="character" w:customStyle="1" w:styleId="DireccinHTMLCar">
    <w:name w:val="Dirección HTML Car"/>
    <w:basedOn w:val="Fuentedeprrafopredeter"/>
    <w:link w:val="DireccinHTML"/>
    <w:uiPriority w:val="99"/>
    <w:semiHidden/>
    <w:rsid w:val="0003148D"/>
    <w:rPr>
      <w:i/>
      <w:iCs/>
    </w:rPr>
  </w:style>
  <w:style w:type="paragraph" w:styleId="Remitedesobre">
    <w:name w:val="envelope return"/>
    <w:basedOn w:val="Normal"/>
    <w:uiPriority w:val="99"/>
    <w:semiHidden/>
    <w:unhideWhenUsed/>
    <w:rsid w:val="0003148D"/>
    <w:rPr>
      <w:rFonts w:asciiTheme="majorHAnsi" w:eastAsiaTheme="majorEastAsia" w:hAnsiTheme="majorHAnsi" w:cstheme="majorBidi"/>
    </w:rPr>
  </w:style>
  <w:style w:type="paragraph" w:styleId="Encabezadodemensaje">
    <w:name w:val="Message Header"/>
    <w:basedOn w:val="Normal"/>
    <w:link w:val="EncabezadodemensajeCar"/>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semiHidden/>
    <w:rsid w:val="0003148D"/>
    <w:rPr>
      <w:rFonts w:asciiTheme="majorHAnsi" w:eastAsiaTheme="majorEastAsia" w:hAnsiTheme="majorHAnsi" w:cstheme="majorBidi"/>
      <w:sz w:val="24"/>
      <w:szCs w:val="24"/>
      <w:shd w:val="pct20" w:color="auto" w:fill="auto"/>
    </w:rPr>
  </w:style>
  <w:style w:type="paragraph" w:styleId="Encabezadodenota">
    <w:name w:val="Note Heading"/>
    <w:basedOn w:val="Normal"/>
    <w:next w:val="Normal"/>
    <w:link w:val="EncabezadodenotaCar"/>
    <w:uiPriority w:val="99"/>
    <w:semiHidden/>
    <w:unhideWhenUsed/>
    <w:rsid w:val="0003148D"/>
  </w:style>
  <w:style w:type="character" w:customStyle="1" w:styleId="EncabezadodenotaCar">
    <w:name w:val="Encabezado de nota Car"/>
    <w:basedOn w:val="Fuentedeprrafopredeter"/>
    <w:link w:val="Encabezadodenota"/>
    <w:uiPriority w:val="99"/>
    <w:semiHidden/>
    <w:rsid w:val="0003148D"/>
  </w:style>
  <w:style w:type="paragraph" w:styleId="Mapadeldocumento">
    <w:name w:val="Document Map"/>
    <w:basedOn w:val="Normal"/>
    <w:link w:val="MapadeldocumentoCar"/>
    <w:uiPriority w:val="99"/>
    <w:semiHidden/>
    <w:unhideWhenUsed/>
    <w:rsid w:val="0003148D"/>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03148D"/>
    <w:rPr>
      <w:rFonts w:ascii="Tahoma" w:hAnsi="Tahoma" w:cs="Tahoma"/>
      <w:sz w:val="16"/>
      <w:szCs w:val="16"/>
    </w:rPr>
  </w:style>
  <w:style w:type="paragraph" w:styleId="NormalWeb">
    <w:name w:val="Normal (Web)"/>
    <w:basedOn w:val="Normal"/>
    <w:uiPriority w:val="99"/>
    <w:semiHidden/>
    <w:unhideWhenUsed/>
    <w:rsid w:val="0003148D"/>
  </w:style>
  <w:style w:type="paragraph" w:styleId="Listaconnmeros">
    <w:name w:val="List Number"/>
    <w:basedOn w:val="Normal"/>
    <w:uiPriority w:val="99"/>
    <w:semiHidden/>
    <w:unhideWhenUsed/>
    <w:rsid w:val="0003148D"/>
    <w:pPr>
      <w:numPr>
        <w:numId w:val="2"/>
      </w:numPr>
      <w:contextualSpacing/>
    </w:pPr>
  </w:style>
  <w:style w:type="paragraph" w:styleId="Listaconnmeros2">
    <w:name w:val="List Number 2"/>
    <w:basedOn w:val="Normal"/>
    <w:uiPriority w:val="99"/>
    <w:semiHidden/>
    <w:unhideWhenUsed/>
    <w:rsid w:val="0003148D"/>
    <w:pPr>
      <w:numPr>
        <w:numId w:val="3"/>
      </w:numPr>
      <w:contextualSpacing/>
    </w:pPr>
  </w:style>
  <w:style w:type="paragraph" w:styleId="Listaconnmeros3">
    <w:name w:val="List Number 3"/>
    <w:basedOn w:val="Normal"/>
    <w:uiPriority w:val="99"/>
    <w:semiHidden/>
    <w:unhideWhenUsed/>
    <w:rsid w:val="0003148D"/>
    <w:pPr>
      <w:numPr>
        <w:numId w:val="4"/>
      </w:numPr>
      <w:contextualSpacing/>
    </w:pPr>
  </w:style>
  <w:style w:type="paragraph" w:styleId="Listaconnmeros4">
    <w:name w:val="List Number 4"/>
    <w:basedOn w:val="Normal"/>
    <w:uiPriority w:val="99"/>
    <w:semiHidden/>
    <w:unhideWhenUsed/>
    <w:rsid w:val="0003148D"/>
    <w:pPr>
      <w:numPr>
        <w:numId w:val="5"/>
      </w:numPr>
      <w:contextualSpacing/>
    </w:pPr>
  </w:style>
  <w:style w:type="paragraph" w:styleId="Listaconnmeros5">
    <w:name w:val="List Number 5"/>
    <w:basedOn w:val="Normal"/>
    <w:uiPriority w:val="99"/>
    <w:semiHidden/>
    <w:unhideWhenUsed/>
    <w:rsid w:val="0003148D"/>
    <w:pPr>
      <w:numPr>
        <w:numId w:val="6"/>
      </w:numPr>
      <w:contextualSpacing/>
    </w:pPr>
  </w:style>
  <w:style w:type="paragraph" w:styleId="HTMLconformatoprevio">
    <w:name w:val="HTML Preformatted"/>
    <w:basedOn w:val="Normal"/>
    <w:link w:val="HTMLconformatoprevioCar"/>
    <w:uiPriority w:val="99"/>
    <w:semiHidden/>
    <w:unhideWhenUsed/>
    <w:rsid w:val="0003148D"/>
    <w:rPr>
      <w:rFonts w:ascii="Consolas" w:hAnsi="Consolas" w:cs="Consolas"/>
    </w:rPr>
  </w:style>
  <w:style w:type="character" w:customStyle="1" w:styleId="HTMLconformatoprevioCar">
    <w:name w:val="HTML con formato previo Car"/>
    <w:basedOn w:val="Fuentedeprrafopredeter"/>
    <w:link w:val="HTMLconformatoprevio"/>
    <w:uiPriority w:val="99"/>
    <w:semiHidden/>
    <w:rsid w:val="0003148D"/>
    <w:rPr>
      <w:rFonts w:ascii="Consolas" w:hAnsi="Consolas" w:cs="Consolas"/>
      <w:sz w:val="20"/>
      <w:szCs w:val="20"/>
    </w:rPr>
  </w:style>
  <w:style w:type="paragraph" w:styleId="Textoindependienteprimerasangra">
    <w:name w:val="Body Text First Indent"/>
    <w:basedOn w:val="Textoindependiente"/>
    <w:link w:val="TextoindependienteprimerasangraCar"/>
    <w:uiPriority w:val="99"/>
    <w:semiHidden/>
    <w:unhideWhenUsed/>
    <w:rsid w:val="0003148D"/>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03148D"/>
  </w:style>
  <w:style w:type="paragraph" w:styleId="Sangradetextonormal">
    <w:name w:val="Body Text Indent"/>
    <w:basedOn w:val="Normal"/>
    <w:link w:val="SangradetextonormalCar"/>
    <w:uiPriority w:val="99"/>
    <w:semiHidden/>
    <w:unhideWhenUsed/>
    <w:rsid w:val="0003148D"/>
    <w:pPr>
      <w:spacing w:after="120"/>
      <w:ind w:left="283"/>
    </w:pPr>
  </w:style>
  <w:style w:type="character" w:customStyle="1" w:styleId="SangradetextonormalCar">
    <w:name w:val="Sangría de texto normal Car"/>
    <w:basedOn w:val="Fuentedeprrafopredeter"/>
    <w:link w:val="Sangradetextonormal"/>
    <w:uiPriority w:val="99"/>
    <w:semiHidden/>
    <w:rsid w:val="0003148D"/>
  </w:style>
  <w:style w:type="paragraph" w:styleId="Textoindependienteprimerasangra2">
    <w:name w:val="Body Text First Indent 2"/>
    <w:basedOn w:val="Sangradetextonormal"/>
    <w:link w:val="Textoindependienteprimerasangra2Car"/>
    <w:uiPriority w:val="99"/>
    <w:semiHidden/>
    <w:unhideWhenUsed/>
    <w:rsid w:val="0003148D"/>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03148D"/>
  </w:style>
  <w:style w:type="paragraph" w:styleId="Listaconvietas">
    <w:name w:val="List Bullet"/>
    <w:basedOn w:val="Normal"/>
    <w:uiPriority w:val="99"/>
    <w:semiHidden/>
    <w:unhideWhenUsed/>
    <w:rsid w:val="0003148D"/>
    <w:pPr>
      <w:numPr>
        <w:numId w:val="7"/>
      </w:numPr>
      <w:tabs>
        <w:tab w:val="right" w:pos="7100"/>
      </w:tabs>
      <w:spacing w:line="264" w:lineRule="auto"/>
      <w:contextualSpacing/>
      <w:jc w:val="both"/>
    </w:pPr>
    <w:rPr>
      <w:rFonts w:ascii="Arial" w:hAnsi="Arial"/>
      <w:sz w:val="18"/>
      <w:szCs w:val="20"/>
      <w:lang w:val="en-GB" w:eastAsia="en-US"/>
    </w:rPr>
  </w:style>
  <w:style w:type="paragraph" w:styleId="Listaconvietas2">
    <w:name w:val="List Bullet 2"/>
    <w:basedOn w:val="Normal"/>
    <w:uiPriority w:val="99"/>
    <w:semiHidden/>
    <w:unhideWhenUsed/>
    <w:rsid w:val="0003148D"/>
    <w:pPr>
      <w:numPr>
        <w:numId w:val="8"/>
      </w:numPr>
      <w:contextualSpacing/>
    </w:pPr>
  </w:style>
  <w:style w:type="paragraph" w:styleId="Listaconvietas3">
    <w:name w:val="List Bullet 3"/>
    <w:basedOn w:val="Normal"/>
    <w:uiPriority w:val="99"/>
    <w:semiHidden/>
    <w:unhideWhenUsed/>
    <w:rsid w:val="0003148D"/>
    <w:pPr>
      <w:numPr>
        <w:numId w:val="9"/>
      </w:numPr>
      <w:contextualSpacing/>
    </w:pPr>
  </w:style>
  <w:style w:type="paragraph" w:styleId="Listaconvietas4">
    <w:name w:val="List Bullet 4"/>
    <w:basedOn w:val="Normal"/>
    <w:uiPriority w:val="99"/>
    <w:semiHidden/>
    <w:unhideWhenUsed/>
    <w:rsid w:val="0003148D"/>
    <w:pPr>
      <w:numPr>
        <w:numId w:val="10"/>
      </w:numPr>
      <w:contextualSpacing/>
    </w:pPr>
  </w:style>
  <w:style w:type="paragraph" w:styleId="Listaconvietas5">
    <w:name w:val="List Bullet 5"/>
    <w:basedOn w:val="Normal"/>
    <w:uiPriority w:val="99"/>
    <w:semiHidden/>
    <w:unhideWhenUsed/>
    <w:rsid w:val="0003148D"/>
    <w:pPr>
      <w:numPr>
        <w:numId w:val="11"/>
      </w:numPr>
      <w:contextualSpacing/>
    </w:pPr>
  </w:style>
  <w:style w:type="paragraph" w:styleId="Sangra2detindependiente">
    <w:name w:val="Body Text Indent 2"/>
    <w:basedOn w:val="Normal"/>
    <w:link w:val="Sangra2detindependienteCar"/>
    <w:uiPriority w:val="99"/>
    <w:semiHidden/>
    <w:unhideWhenUsed/>
    <w:rsid w:val="0003148D"/>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03148D"/>
  </w:style>
  <w:style w:type="paragraph" w:styleId="Sangra3detindependiente">
    <w:name w:val="Body Text Indent 3"/>
    <w:basedOn w:val="Normal"/>
    <w:link w:val="Sangra3detindependienteCar"/>
    <w:uiPriority w:val="99"/>
    <w:semiHidden/>
    <w:unhideWhenUsed/>
    <w:rsid w:val="0003148D"/>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03148D"/>
    <w:rPr>
      <w:sz w:val="16"/>
      <w:szCs w:val="16"/>
    </w:rPr>
  </w:style>
  <w:style w:type="paragraph" w:styleId="Sangranormal">
    <w:name w:val="Normal Indent"/>
    <w:basedOn w:val="Normal"/>
    <w:uiPriority w:val="99"/>
    <w:semiHidden/>
    <w:unhideWhenUsed/>
    <w:rsid w:val="0003148D"/>
    <w:pPr>
      <w:tabs>
        <w:tab w:val="right" w:pos="7100"/>
      </w:tabs>
      <w:spacing w:line="264" w:lineRule="auto"/>
      <w:ind w:left="720"/>
      <w:jc w:val="both"/>
    </w:pPr>
    <w:rPr>
      <w:rFonts w:ascii="Arial" w:hAnsi="Arial"/>
      <w:sz w:val="18"/>
      <w:szCs w:val="20"/>
      <w:lang w:val="en-GB" w:eastAsia="en-US"/>
    </w:rPr>
  </w:style>
  <w:style w:type="paragraph" w:styleId="Textocomentario">
    <w:name w:val="annotation text"/>
    <w:basedOn w:val="Normal"/>
    <w:link w:val="TextocomentarioCar"/>
    <w:uiPriority w:val="99"/>
    <w:unhideWhenUsed/>
    <w:rsid w:val="0003148D"/>
    <w:pPr>
      <w:tabs>
        <w:tab w:val="right" w:pos="7100"/>
      </w:tabs>
      <w:jc w:val="both"/>
    </w:pPr>
    <w:rPr>
      <w:rFonts w:ascii="Arial" w:hAnsi="Arial"/>
      <w:sz w:val="18"/>
      <w:szCs w:val="20"/>
      <w:lang w:val="en-GB" w:eastAsia="en-US"/>
    </w:rPr>
  </w:style>
  <w:style w:type="character" w:customStyle="1" w:styleId="TextocomentarioCar">
    <w:name w:val="Texto comentario Car"/>
    <w:basedOn w:val="Fuentedeprrafopredeter"/>
    <w:link w:val="Textocomentario"/>
    <w:uiPriority w:val="99"/>
    <w:rsid w:val="0003148D"/>
    <w:rPr>
      <w:sz w:val="20"/>
      <w:szCs w:val="20"/>
    </w:rPr>
  </w:style>
  <w:style w:type="paragraph" w:styleId="Asuntodelcomentario">
    <w:name w:val="annotation subject"/>
    <w:basedOn w:val="Textocomentario"/>
    <w:next w:val="Textocomentario"/>
    <w:link w:val="AsuntodelcomentarioCar"/>
    <w:uiPriority w:val="99"/>
    <w:semiHidden/>
    <w:unhideWhenUsed/>
    <w:rsid w:val="0003148D"/>
    <w:rPr>
      <w:b/>
      <w:bCs/>
    </w:rPr>
  </w:style>
  <w:style w:type="character" w:customStyle="1" w:styleId="AsuntodelcomentarioCar">
    <w:name w:val="Asunto del comentario Car"/>
    <w:basedOn w:val="TextocomentarioCar"/>
    <w:link w:val="Asuntodelcomentario"/>
    <w:uiPriority w:val="99"/>
    <w:semiHidden/>
    <w:rsid w:val="0003148D"/>
    <w:rPr>
      <w:b/>
      <w:bCs/>
      <w:sz w:val="20"/>
      <w:szCs w:val="20"/>
    </w:rPr>
  </w:style>
  <w:style w:type="paragraph" w:styleId="TDC1">
    <w:name w:val="toc 1"/>
    <w:basedOn w:val="Normal"/>
    <w:next w:val="Normal"/>
    <w:autoRedefine/>
    <w:uiPriority w:val="39"/>
    <w:semiHidden/>
    <w:unhideWhenUsed/>
    <w:rsid w:val="0003148D"/>
    <w:pPr>
      <w:tabs>
        <w:tab w:val="right" w:pos="7100"/>
      </w:tabs>
      <w:spacing w:after="100" w:line="264" w:lineRule="auto"/>
      <w:jc w:val="both"/>
    </w:pPr>
    <w:rPr>
      <w:rFonts w:ascii="Arial" w:hAnsi="Arial"/>
      <w:sz w:val="18"/>
      <w:szCs w:val="20"/>
      <w:lang w:val="en-GB" w:eastAsia="en-US"/>
    </w:rPr>
  </w:style>
  <w:style w:type="paragraph" w:styleId="TDC2">
    <w:name w:val="toc 2"/>
    <w:basedOn w:val="Normal"/>
    <w:next w:val="Normal"/>
    <w:autoRedefine/>
    <w:uiPriority w:val="39"/>
    <w:semiHidden/>
    <w:unhideWhenUsed/>
    <w:rsid w:val="0003148D"/>
    <w:pPr>
      <w:spacing w:after="100"/>
      <w:ind w:left="220"/>
    </w:pPr>
  </w:style>
  <w:style w:type="paragraph" w:styleId="TDC3">
    <w:name w:val="toc 3"/>
    <w:basedOn w:val="Normal"/>
    <w:next w:val="Normal"/>
    <w:autoRedefine/>
    <w:uiPriority w:val="39"/>
    <w:semiHidden/>
    <w:unhideWhenUsed/>
    <w:rsid w:val="0003148D"/>
    <w:pPr>
      <w:spacing w:after="100"/>
      <w:ind w:left="440"/>
    </w:pPr>
  </w:style>
  <w:style w:type="paragraph" w:styleId="TDC4">
    <w:name w:val="toc 4"/>
    <w:basedOn w:val="Normal"/>
    <w:next w:val="Normal"/>
    <w:autoRedefine/>
    <w:uiPriority w:val="39"/>
    <w:semiHidden/>
    <w:unhideWhenUsed/>
    <w:rsid w:val="0003148D"/>
    <w:pPr>
      <w:spacing w:after="100"/>
      <w:ind w:left="660"/>
    </w:pPr>
  </w:style>
  <w:style w:type="paragraph" w:styleId="TDC5">
    <w:name w:val="toc 5"/>
    <w:basedOn w:val="Normal"/>
    <w:next w:val="Normal"/>
    <w:autoRedefine/>
    <w:uiPriority w:val="39"/>
    <w:semiHidden/>
    <w:unhideWhenUsed/>
    <w:rsid w:val="0003148D"/>
    <w:pPr>
      <w:spacing w:after="100"/>
      <w:ind w:left="880"/>
    </w:pPr>
  </w:style>
  <w:style w:type="paragraph" w:styleId="TDC6">
    <w:name w:val="toc 6"/>
    <w:basedOn w:val="Normal"/>
    <w:next w:val="Normal"/>
    <w:autoRedefine/>
    <w:uiPriority w:val="39"/>
    <w:semiHidden/>
    <w:unhideWhenUsed/>
    <w:rsid w:val="0003148D"/>
    <w:pPr>
      <w:spacing w:after="100"/>
      <w:ind w:left="1100"/>
    </w:pPr>
  </w:style>
  <w:style w:type="paragraph" w:styleId="TDC7">
    <w:name w:val="toc 7"/>
    <w:basedOn w:val="Normal"/>
    <w:next w:val="Normal"/>
    <w:autoRedefine/>
    <w:uiPriority w:val="39"/>
    <w:semiHidden/>
    <w:unhideWhenUsed/>
    <w:rsid w:val="0003148D"/>
    <w:pPr>
      <w:spacing w:after="100"/>
      <w:ind w:left="1320"/>
    </w:pPr>
  </w:style>
  <w:style w:type="paragraph" w:styleId="TDC8">
    <w:name w:val="toc 8"/>
    <w:basedOn w:val="Normal"/>
    <w:next w:val="Normal"/>
    <w:autoRedefine/>
    <w:uiPriority w:val="39"/>
    <w:semiHidden/>
    <w:unhideWhenUsed/>
    <w:rsid w:val="0003148D"/>
    <w:pPr>
      <w:spacing w:after="100"/>
      <w:ind w:left="1540"/>
    </w:pPr>
  </w:style>
  <w:style w:type="paragraph" w:styleId="TDC9">
    <w:name w:val="toc 9"/>
    <w:basedOn w:val="Normal"/>
    <w:next w:val="Normal"/>
    <w:autoRedefine/>
    <w:uiPriority w:val="39"/>
    <w:semiHidden/>
    <w:unhideWhenUsed/>
    <w:rsid w:val="0003148D"/>
    <w:pPr>
      <w:spacing w:after="100"/>
      <w:ind w:left="1760"/>
    </w:pPr>
  </w:style>
  <w:style w:type="paragraph" w:styleId="Textodebloque">
    <w:name w:val="Block Text"/>
    <w:basedOn w:val="Normal"/>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Textomacro">
    <w:name w:val="macro"/>
    <w:link w:val="TextomacroCar"/>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TextomacroCar">
    <w:name w:val="Texto macro Car"/>
    <w:basedOn w:val="Fuentedeprrafopredeter"/>
    <w:link w:val="Textomacro"/>
    <w:uiPriority w:val="99"/>
    <w:semiHidden/>
    <w:rsid w:val="0003148D"/>
    <w:rPr>
      <w:rFonts w:ascii="Consolas" w:hAnsi="Consolas" w:cs="Consolas"/>
      <w:sz w:val="20"/>
      <w:szCs w:val="20"/>
    </w:rPr>
  </w:style>
  <w:style w:type="paragraph" w:styleId="Textosinformato">
    <w:name w:val="Plain Text"/>
    <w:basedOn w:val="Normal"/>
    <w:link w:val="TextosinformatoCar"/>
    <w:uiPriority w:val="99"/>
    <w:semiHidden/>
    <w:unhideWhenUsed/>
    <w:rsid w:val="0003148D"/>
    <w:rPr>
      <w:rFonts w:ascii="Consolas" w:hAnsi="Consolas" w:cs="Consolas"/>
      <w:sz w:val="21"/>
      <w:szCs w:val="21"/>
    </w:rPr>
  </w:style>
  <w:style w:type="character" w:customStyle="1" w:styleId="TextosinformatoCar">
    <w:name w:val="Texto sin formato Car"/>
    <w:basedOn w:val="Fuentedeprrafopredeter"/>
    <w:link w:val="Textosinformato"/>
    <w:uiPriority w:val="99"/>
    <w:semiHidden/>
    <w:rsid w:val="0003148D"/>
    <w:rPr>
      <w:rFonts w:ascii="Consolas" w:hAnsi="Consolas" w:cs="Consolas"/>
      <w:sz w:val="21"/>
      <w:szCs w:val="21"/>
    </w:rPr>
  </w:style>
  <w:style w:type="paragraph" w:styleId="Textonotapie">
    <w:name w:val="footnote text"/>
    <w:basedOn w:val="Normal"/>
    <w:link w:val="TextonotapieCar"/>
    <w:uiPriority w:val="99"/>
    <w:semiHidden/>
    <w:unhideWhenUsed/>
    <w:rsid w:val="0003148D"/>
  </w:style>
  <w:style w:type="character" w:customStyle="1" w:styleId="TextonotapieCar">
    <w:name w:val="Texto nota pie Car"/>
    <w:basedOn w:val="Fuentedeprrafopredeter"/>
    <w:link w:val="Textonotapie"/>
    <w:uiPriority w:val="99"/>
    <w:semiHidden/>
    <w:rsid w:val="0003148D"/>
    <w:rPr>
      <w:sz w:val="20"/>
      <w:szCs w:val="20"/>
    </w:rPr>
  </w:style>
  <w:style w:type="paragraph" w:styleId="Textonotaalfinal">
    <w:name w:val="endnote text"/>
    <w:basedOn w:val="Normal"/>
    <w:link w:val="TextonotaalfinalCar"/>
    <w:uiPriority w:val="99"/>
    <w:semiHidden/>
    <w:unhideWhenUsed/>
    <w:rsid w:val="0003148D"/>
  </w:style>
  <w:style w:type="character" w:customStyle="1" w:styleId="TextonotaalfinalCar">
    <w:name w:val="Texto nota al final Car"/>
    <w:basedOn w:val="Fuentedeprrafopredeter"/>
    <w:link w:val="Textonotaalfinal"/>
    <w:uiPriority w:val="99"/>
    <w:semiHidden/>
    <w:rsid w:val="0003148D"/>
    <w:rPr>
      <w:sz w:val="20"/>
      <w:szCs w:val="20"/>
    </w:rPr>
  </w:style>
  <w:style w:type="character" w:customStyle="1" w:styleId="Ttulo1Car">
    <w:name w:val="Título 1 Car"/>
    <w:basedOn w:val="Fuentedeprrafopredeter"/>
    <w:link w:val="Ttulo1"/>
    <w:uiPriority w:val="9"/>
    <w:rsid w:val="004F5E36"/>
    <w:rPr>
      <w:rFonts w:ascii="Arial" w:eastAsia="Times New Roman" w:hAnsi="Arial" w:cs="Times New Roman"/>
      <w:b/>
      <w:sz w:val="20"/>
      <w:szCs w:val="20"/>
      <w:lang w:val="en-GB"/>
    </w:rPr>
  </w:style>
  <w:style w:type="character" w:customStyle="1" w:styleId="Ttulo2Car">
    <w:name w:val="Título 2 Car"/>
    <w:basedOn w:val="Fuentedeprrafopredeter"/>
    <w:link w:val="Ttulo2"/>
    <w:uiPriority w:val="9"/>
    <w:semiHidden/>
    <w:rsid w:val="0003148D"/>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semiHidden/>
    <w:rsid w:val="0003148D"/>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03148D"/>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03148D"/>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03148D"/>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03148D"/>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Ttulo9Car">
    <w:name w:val="Título 9 Car"/>
    <w:basedOn w:val="Fuentedeprrafopredeter"/>
    <w:link w:val="Ttulo9"/>
    <w:uiPriority w:val="9"/>
    <w:semiHidden/>
    <w:rsid w:val="0003148D"/>
    <w:rPr>
      <w:rFonts w:asciiTheme="majorHAnsi" w:eastAsiaTheme="majorEastAsia" w:hAnsiTheme="majorHAnsi" w:cstheme="majorBidi"/>
      <w:i/>
      <w:iCs/>
      <w:color w:val="404040" w:themeColor="text1" w:themeTint="BF"/>
      <w:sz w:val="20"/>
      <w:szCs w:val="20"/>
    </w:rPr>
  </w:style>
  <w:style w:type="paragraph" w:styleId="Ttulodendice">
    <w:name w:val="index heading"/>
    <w:basedOn w:val="Normal"/>
    <w:next w:val="ndice1"/>
    <w:uiPriority w:val="99"/>
    <w:semiHidden/>
    <w:unhideWhenUsed/>
    <w:rsid w:val="0003148D"/>
    <w:rPr>
      <w:rFonts w:asciiTheme="majorHAnsi" w:eastAsiaTheme="majorEastAsia" w:hAnsiTheme="majorHAnsi" w:cstheme="majorBidi"/>
      <w:b/>
      <w:bCs/>
    </w:rPr>
  </w:style>
  <w:style w:type="paragraph" w:styleId="Encabezadodelista">
    <w:name w:val="toa heading"/>
    <w:basedOn w:val="Normal"/>
    <w:next w:val="Normal"/>
    <w:uiPriority w:val="99"/>
    <w:semiHidden/>
    <w:unhideWhenUsed/>
    <w:rsid w:val="0003148D"/>
    <w:pPr>
      <w:spacing w:before="120"/>
    </w:pPr>
    <w:rPr>
      <w:rFonts w:asciiTheme="majorHAnsi" w:eastAsiaTheme="majorEastAsia" w:hAnsiTheme="majorHAnsi" w:cstheme="majorBidi"/>
      <w:b/>
      <w:bCs/>
    </w:rPr>
  </w:style>
  <w:style w:type="paragraph" w:styleId="TtuloTDC">
    <w:name w:val="TOC Heading"/>
    <w:basedOn w:val="Ttulo1"/>
    <w:next w:val="Normal"/>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Fuentedeprrafopredeter"/>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Encabezado">
    <w:name w:val="header"/>
    <w:basedOn w:val="Normal"/>
    <w:link w:val="EncabezadoCar"/>
    <w:uiPriority w:val="99"/>
    <w:unhideWhenUsed/>
    <w:rsid w:val="005278B7"/>
    <w:pPr>
      <w:tabs>
        <w:tab w:val="center" w:pos="4819"/>
        <w:tab w:val="right" w:pos="9638"/>
      </w:tabs>
      <w:jc w:val="both"/>
    </w:pPr>
    <w:rPr>
      <w:rFonts w:ascii="Arial" w:hAnsi="Arial"/>
      <w:sz w:val="18"/>
      <w:szCs w:val="20"/>
      <w:lang w:val="en-GB" w:eastAsia="en-US"/>
    </w:rPr>
  </w:style>
  <w:style w:type="character" w:customStyle="1" w:styleId="EncabezadoCar">
    <w:name w:val="Encabezado Car"/>
    <w:basedOn w:val="Fuentedeprrafopredeter"/>
    <w:link w:val="Encabezado"/>
    <w:uiPriority w:val="99"/>
    <w:rsid w:val="005278B7"/>
    <w:rPr>
      <w:rFonts w:ascii="Arial" w:eastAsia="Times New Roman" w:hAnsi="Arial" w:cs="Times New Roman"/>
      <w:sz w:val="18"/>
      <w:szCs w:val="20"/>
      <w:lang w:val="en-GB"/>
    </w:rPr>
  </w:style>
  <w:style w:type="paragraph" w:styleId="Piedepgina">
    <w:name w:val="footer"/>
    <w:basedOn w:val="Normal"/>
    <w:link w:val="PiedepginaCar"/>
    <w:uiPriority w:val="99"/>
    <w:unhideWhenUsed/>
    <w:rsid w:val="005278B7"/>
    <w:pPr>
      <w:tabs>
        <w:tab w:val="center" w:pos="4819"/>
        <w:tab w:val="right" w:pos="9638"/>
      </w:tabs>
      <w:jc w:val="both"/>
    </w:pPr>
    <w:rPr>
      <w:rFonts w:ascii="Arial" w:hAnsi="Arial"/>
      <w:sz w:val="18"/>
      <w:szCs w:val="20"/>
      <w:lang w:val="en-GB" w:eastAsia="en-US"/>
    </w:rPr>
  </w:style>
  <w:style w:type="character" w:customStyle="1" w:styleId="PiedepginaCar">
    <w:name w:val="Pie de página Car"/>
    <w:basedOn w:val="Fuentedeprrafopredeter"/>
    <w:link w:val="Piedepgina"/>
    <w:uiPriority w:val="99"/>
    <w:rsid w:val="005278B7"/>
    <w:rPr>
      <w:rFonts w:ascii="Arial" w:eastAsia="Times New Roman" w:hAnsi="Arial" w:cs="Times New Roman"/>
      <w:sz w:val="18"/>
      <w:szCs w:val="20"/>
      <w:lang w:val="en-GB"/>
    </w:rPr>
  </w:style>
  <w:style w:type="table" w:styleId="Tablaconcuadrcula">
    <w:name w:val="Table Grid"/>
    <w:basedOn w:val="Tablanormal"/>
    <w:uiPriority w:val="5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904C62"/>
    <w:rPr>
      <w:color w:val="0000FF" w:themeColor="hyperlink"/>
      <w:u w:val="single"/>
    </w:rPr>
  </w:style>
  <w:style w:type="character" w:customStyle="1" w:styleId="eudoraheader">
    <w:name w:val="eudoraheader"/>
    <w:basedOn w:val="Fuentedeprrafopredeter"/>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Prrafodelista">
    <w:name w:val="List Paragraph"/>
    <w:basedOn w:val="Normal"/>
    <w:uiPriority w:val="34"/>
    <w:rsid w:val="00280FAF"/>
    <w:pPr>
      <w:tabs>
        <w:tab w:val="right" w:pos="7100"/>
      </w:tabs>
      <w:spacing w:line="264" w:lineRule="auto"/>
      <w:ind w:left="720"/>
      <w:contextualSpacing/>
      <w:jc w:val="both"/>
    </w:pPr>
    <w:rPr>
      <w:rFonts w:ascii="Arial" w:hAnsi="Arial"/>
      <w:sz w:val="18"/>
      <w:szCs w:val="20"/>
      <w:lang w:val="en-GB" w:eastAsia="en-US"/>
    </w:rPr>
  </w:style>
  <w:style w:type="character" w:customStyle="1" w:styleId="gmail-apple-converted-space">
    <w:name w:val="gmail-apple-converted-space"/>
    <w:basedOn w:val="Fuentedeprrafopredeter"/>
    <w:rsid w:val="00005A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642512">
      <w:bodyDiv w:val="1"/>
      <w:marLeft w:val="0"/>
      <w:marRight w:val="0"/>
      <w:marTop w:val="0"/>
      <w:marBottom w:val="0"/>
      <w:divBdr>
        <w:top w:val="none" w:sz="0" w:space="0" w:color="auto"/>
        <w:left w:val="none" w:sz="0" w:space="0" w:color="auto"/>
        <w:bottom w:val="none" w:sz="0" w:space="0" w:color="auto"/>
        <w:right w:val="none" w:sz="0" w:space="0" w:color="auto"/>
      </w:divBdr>
    </w:div>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59060041">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297569">
      <w:bodyDiv w:val="1"/>
      <w:marLeft w:val="0"/>
      <w:marRight w:val="0"/>
      <w:marTop w:val="0"/>
      <w:marBottom w:val="0"/>
      <w:divBdr>
        <w:top w:val="none" w:sz="0" w:space="0" w:color="auto"/>
        <w:left w:val="none" w:sz="0" w:space="0" w:color="auto"/>
        <w:bottom w:val="none" w:sz="0" w:space="0" w:color="auto"/>
        <w:right w:val="none" w:sz="0" w:space="0" w:color="auto"/>
      </w:divBdr>
      <w:divsChild>
        <w:div w:id="892889825">
          <w:marLeft w:val="0"/>
          <w:marRight w:val="0"/>
          <w:marTop w:val="0"/>
          <w:marBottom w:val="0"/>
          <w:divBdr>
            <w:top w:val="none" w:sz="0" w:space="0" w:color="auto"/>
            <w:left w:val="none" w:sz="0" w:space="0" w:color="auto"/>
            <w:bottom w:val="none" w:sz="0" w:space="0" w:color="auto"/>
            <w:right w:val="none" w:sz="0" w:space="0" w:color="auto"/>
          </w:divBdr>
        </w:div>
      </w:divsChild>
    </w:div>
    <w:div w:id="1988433564">
      <w:bodyDiv w:val="1"/>
      <w:marLeft w:val="0"/>
      <w:marRight w:val="0"/>
      <w:marTop w:val="0"/>
      <w:marBottom w:val="0"/>
      <w:divBdr>
        <w:top w:val="none" w:sz="0" w:space="0" w:color="auto"/>
        <w:left w:val="none" w:sz="0" w:space="0" w:color="auto"/>
        <w:bottom w:val="none" w:sz="0" w:space="0" w:color="auto"/>
        <w:right w:val="none" w:sz="0" w:space="0" w:color="auto"/>
      </w:divBdr>
      <w:divsChild>
        <w:div w:id="851648160">
          <w:marLeft w:val="0"/>
          <w:marRight w:val="0"/>
          <w:marTop w:val="0"/>
          <w:marBottom w:val="0"/>
          <w:divBdr>
            <w:top w:val="none" w:sz="0" w:space="0" w:color="auto"/>
            <w:left w:val="none" w:sz="0" w:space="0" w:color="auto"/>
            <w:bottom w:val="none" w:sz="0" w:space="0" w:color="auto"/>
            <w:right w:val="none" w:sz="0" w:space="0" w:color="auto"/>
          </w:divBdr>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3278</Words>
  <Characters>18031</Characters>
  <Application>Microsoft Office Word</Application>
  <DocSecurity>0</DocSecurity>
  <Lines>150</Lines>
  <Paragraphs>42</Paragraphs>
  <ScaleCrop>false</ScaleCrop>
  <HeadingPairs>
    <vt:vector size="6" baseType="variant">
      <vt:variant>
        <vt:lpstr>Título</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21267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raffaella</dc:creator>
  <cp:keywords/>
  <dc:description/>
  <cp:lastModifiedBy>Diaz Sainz, Guillermo</cp:lastModifiedBy>
  <cp:revision>3</cp:revision>
  <cp:lastPrinted>2015-05-12T18:31:00Z</cp:lastPrinted>
  <dcterms:created xsi:type="dcterms:W3CDTF">2026-06-12T09:23:00Z</dcterms:created>
  <dcterms:modified xsi:type="dcterms:W3CDTF">2026-06-14T13:56:00Z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y fmtid="{D5CDD505-2E9C-101B-9397-08002B2CF9AE}" pid="4" name="GrammarlyDocumentId">
    <vt:lpwstr>f201137a-e3c7-43be-ae4b-0d3d203ecc09</vt:lpwstr>
  </property>
</Properties>
</file>